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CE" w:rsidRPr="00767038" w:rsidRDefault="0039197E" w:rsidP="00B67ACE">
      <w:pPr>
        <w:pStyle w:val="Tytu"/>
        <w:rPr>
          <w:rFonts w:ascii="Verdana" w:hAnsi="Verdana"/>
          <w:lang w:val="pl-PL"/>
        </w:rPr>
      </w:pPr>
      <w:r w:rsidRPr="00767038">
        <w:rPr>
          <w:rFonts w:ascii="Verdana" w:hAnsi="Verdana"/>
          <w:noProof/>
          <w:lang w:val="pl-PL" w:eastAsia="pl-PL"/>
        </w:rPr>
        <w:drawing>
          <wp:inline distT="0" distB="0" distL="0" distR="0" wp14:anchorId="61242EFA" wp14:editId="442B0682">
            <wp:extent cx="5753100" cy="591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97E" w:rsidRPr="00767038" w:rsidRDefault="0039197E" w:rsidP="00B67ACE">
      <w:pPr>
        <w:pStyle w:val="Tytu"/>
        <w:jc w:val="left"/>
        <w:rPr>
          <w:rFonts w:ascii="Verdana" w:hAnsi="Verdana" w:cs="Arial"/>
          <w:b/>
          <w:color w:val="1F4E79" w:themeColor="accent1" w:themeShade="80"/>
          <w:sz w:val="60"/>
          <w:szCs w:val="60"/>
          <w:lang w:val="pl-PL"/>
        </w:rPr>
      </w:pPr>
    </w:p>
    <w:p w:rsidR="0039197E" w:rsidRPr="00767038" w:rsidRDefault="0039197E" w:rsidP="00B67ACE">
      <w:pPr>
        <w:pStyle w:val="Tytu"/>
        <w:jc w:val="left"/>
        <w:rPr>
          <w:rFonts w:ascii="Verdana" w:hAnsi="Verdana" w:cs="Arial"/>
          <w:b/>
          <w:color w:val="1F4E79" w:themeColor="accent1" w:themeShade="80"/>
          <w:sz w:val="60"/>
          <w:szCs w:val="60"/>
          <w:lang w:val="pl-PL"/>
        </w:rPr>
      </w:pPr>
    </w:p>
    <w:p w:rsidR="0039197E" w:rsidRPr="00767038" w:rsidRDefault="0039197E" w:rsidP="0039197E">
      <w:pPr>
        <w:rPr>
          <w:lang w:val="pl-PL"/>
        </w:rPr>
      </w:pPr>
    </w:p>
    <w:p w:rsidR="0039197E" w:rsidRPr="00767038" w:rsidRDefault="0039197E" w:rsidP="0039197E">
      <w:pPr>
        <w:rPr>
          <w:lang w:val="pl-PL"/>
        </w:rPr>
      </w:pPr>
    </w:p>
    <w:p w:rsidR="0039197E" w:rsidRPr="00767038" w:rsidRDefault="0039197E" w:rsidP="0039197E">
      <w:pPr>
        <w:rPr>
          <w:lang w:val="pl-PL"/>
        </w:rPr>
      </w:pPr>
    </w:p>
    <w:p w:rsidR="0039197E" w:rsidRPr="00767038" w:rsidRDefault="00FB2938" w:rsidP="0039197E">
      <w:pPr>
        <w:pStyle w:val="Tytu"/>
        <w:jc w:val="center"/>
        <w:rPr>
          <w:rFonts w:ascii="Verdana" w:hAnsi="Verdana" w:cs="Arial"/>
          <w:b/>
          <w:color w:val="1F4E79" w:themeColor="accent1" w:themeShade="80"/>
          <w:sz w:val="30"/>
          <w:szCs w:val="30"/>
          <w:lang w:val="pl-PL"/>
        </w:rPr>
      </w:pPr>
      <w:r>
        <w:rPr>
          <w:rFonts w:ascii="Verdana" w:hAnsi="Verdana" w:cs="Arial"/>
          <w:noProof/>
          <w:color w:val="1F4E79" w:themeColor="accent1" w:themeShade="80"/>
          <w:sz w:val="60"/>
          <w:szCs w:val="6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440689</wp:posOffset>
                </wp:positionV>
                <wp:extent cx="5762625" cy="0"/>
                <wp:effectExtent l="0" t="19050" r="9525" b="19050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02.55pt,34.7pt" to="856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" strokecolor="#1f4d78 [160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67ACE" w:rsidRPr="00767038">
        <w:rPr>
          <w:rFonts w:ascii="Verdana" w:hAnsi="Verdana" w:cs="Arial"/>
          <w:b/>
          <w:bCs/>
          <w:color w:val="1F4E79" w:themeColor="accent1" w:themeShade="80"/>
          <w:sz w:val="60"/>
          <w:szCs w:val="60"/>
          <w:lang w:val="pl-PL"/>
        </w:rPr>
        <w:t>Wytyczne finansowe</w:t>
      </w:r>
      <w:r w:rsidR="00B67ACE" w:rsidRPr="00767038">
        <w:rPr>
          <w:rFonts w:ascii="Verdana" w:hAnsi="Verdana" w:cs="Arial"/>
          <w:color w:val="1F4E79" w:themeColor="accent1" w:themeShade="80"/>
          <w:sz w:val="60"/>
          <w:szCs w:val="60"/>
          <w:lang w:val="pl-PL"/>
        </w:rPr>
        <w:br/>
      </w:r>
    </w:p>
    <w:p w:rsidR="00B67ACE" w:rsidRPr="00767038" w:rsidRDefault="00B67ACE" w:rsidP="0039197E">
      <w:pPr>
        <w:pStyle w:val="Tytu"/>
        <w:jc w:val="center"/>
        <w:rPr>
          <w:rFonts w:ascii="Verdana" w:hAnsi="Verdana" w:cs="Arial"/>
          <w:b/>
          <w:color w:val="1F4E79" w:themeColor="accent1" w:themeShade="80"/>
          <w:sz w:val="30"/>
          <w:szCs w:val="30"/>
          <w:lang w:val="pl-PL"/>
        </w:rPr>
      </w:pPr>
      <w:r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t>Wytyczne dotyczące zarządzania finans</w:t>
      </w:r>
      <w:r w:rsidR="00E0168A"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t>owego</w:t>
      </w:r>
      <w:r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t xml:space="preserve"> i </w:t>
      </w:r>
      <w:r w:rsidR="00AB6135"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t xml:space="preserve">sprawozdawczości </w:t>
      </w:r>
      <w:r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t xml:space="preserve">w ramach Mechanizmu Finansowego EOG i Norweskiego Mechanizmu Finansowego </w:t>
      </w:r>
      <w:r w:rsidR="00C753D4"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br/>
      </w:r>
      <w:r w:rsidRPr="00767038">
        <w:rPr>
          <w:rFonts w:ascii="Verdana" w:hAnsi="Verdana" w:cs="Arial"/>
          <w:b/>
          <w:bCs/>
          <w:color w:val="1F4E79" w:themeColor="accent1" w:themeShade="80"/>
          <w:sz w:val="30"/>
          <w:szCs w:val="30"/>
          <w:lang w:val="pl-PL"/>
        </w:rPr>
        <w:t>na lata 2014-2021</w:t>
      </w:r>
    </w:p>
    <w:p w:rsidR="00B67ACE" w:rsidRPr="00767038" w:rsidRDefault="00B67ACE" w:rsidP="00B67ACE">
      <w:pPr>
        <w:rPr>
          <w:lang w:val="pl-PL"/>
        </w:rPr>
      </w:pPr>
      <w:r w:rsidRPr="00767038">
        <w:rPr>
          <w:rFonts w:cs="Arial"/>
          <w:szCs w:val="20"/>
          <w:lang w:val="pl-PL"/>
        </w:rPr>
        <w:br/>
      </w: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39197E" w:rsidRPr="00767038" w:rsidRDefault="0039197E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39197E" w:rsidRPr="00767038" w:rsidRDefault="0039197E" w:rsidP="00B67ACE">
      <w:pPr>
        <w:rPr>
          <w:lang w:val="pl-PL"/>
        </w:rPr>
      </w:pPr>
    </w:p>
    <w:p w:rsidR="0039197E" w:rsidRPr="00767038" w:rsidRDefault="0039197E" w:rsidP="00B67ACE">
      <w:pPr>
        <w:rPr>
          <w:lang w:val="pl-PL"/>
        </w:rPr>
      </w:pPr>
    </w:p>
    <w:p w:rsidR="0039197E" w:rsidRPr="00767038" w:rsidRDefault="0039197E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39197E" w:rsidRPr="00767038" w:rsidRDefault="0039197E" w:rsidP="00B67ACE">
      <w:pPr>
        <w:rPr>
          <w:lang w:val="pl-PL"/>
        </w:rPr>
      </w:pPr>
    </w:p>
    <w:p w:rsidR="004E1E9A" w:rsidRPr="00767038" w:rsidRDefault="004E1E9A" w:rsidP="00B67ACE">
      <w:pPr>
        <w:rPr>
          <w:lang w:val="pl-PL"/>
        </w:rPr>
      </w:pPr>
    </w:p>
    <w:p w:rsidR="00B67ACE" w:rsidRPr="00767038" w:rsidRDefault="00DE5468" w:rsidP="0039197E">
      <w:pPr>
        <w:jc w:val="center"/>
        <w:rPr>
          <w:rFonts w:eastAsiaTheme="majorEastAsia" w:cstheme="majorBidi"/>
          <w:b/>
          <w:spacing w:val="-10"/>
          <w:kern w:val="28"/>
          <w:lang w:val="pl-PL"/>
        </w:rPr>
      </w:pPr>
      <w:r w:rsidRPr="00767038">
        <w:rPr>
          <w:b/>
          <w:bCs/>
          <w:color w:val="1F4E79" w:themeColor="accent1" w:themeShade="80"/>
          <w:sz w:val="22"/>
          <w:lang w:val="pl-PL"/>
        </w:rPr>
        <w:t xml:space="preserve">Wersja z </w:t>
      </w:r>
      <w:r w:rsidR="00786B7B">
        <w:rPr>
          <w:b/>
          <w:bCs/>
          <w:color w:val="1F4E79" w:themeColor="accent1" w:themeShade="80"/>
          <w:sz w:val="22"/>
          <w:lang w:val="pl-PL"/>
        </w:rPr>
        <w:t>września</w:t>
      </w:r>
      <w:r w:rsidRPr="00767038">
        <w:rPr>
          <w:b/>
          <w:bCs/>
          <w:color w:val="1F4E79" w:themeColor="accent1" w:themeShade="80"/>
          <w:sz w:val="22"/>
          <w:lang w:val="pl-PL"/>
        </w:rPr>
        <w:t xml:space="preserve"> 201</w:t>
      </w:r>
      <w:r w:rsidR="00786B7B">
        <w:rPr>
          <w:b/>
          <w:bCs/>
          <w:color w:val="1F4E79" w:themeColor="accent1" w:themeShade="80"/>
          <w:sz w:val="22"/>
          <w:lang w:val="pl-PL"/>
        </w:rPr>
        <w:t>8</w:t>
      </w:r>
      <w:r w:rsidRPr="00767038">
        <w:rPr>
          <w:b/>
          <w:bCs/>
          <w:color w:val="1F4E79" w:themeColor="accent1" w:themeShade="80"/>
          <w:sz w:val="22"/>
          <w:lang w:val="pl-PL"/>
        </w:rPr>
        <w:t xml:space="preserve"> r.</w:t>
      </w:r>
      <w:bookmarkStart w:id="0" w:name="_GoBack"/>
      <w:bookmarkEnd w:id="0"/>
      <w:r w:rsidRPr="00767038">
        <w:rPr>
          <w:lang w:val="pl-PL"/>
        </w:rPr>
        <w:br w:type="page"/>
      </w:r>
    </w:p>
    <w:sdt>
      <w:sdtPr>
        <w:rPr>
          <w:rFonts w:ascii="Verdana" w:eastAsiaTheme="minorHAnsi" w:hAnsi="Verdana" w:cstheme="minorBidi"/>
          <w:caps/>
          <w:color w:val="auto"/>
          <w:spacing w:val="0"/>
          <w:kern w:val="0"/>
          <w:sz w:val="20"/>
          <w:szCs w:val="20"/>
          <w:lang w:val="pl-PL"/>
        </w:rPr>
        <w:id w:val="-566184814"/>
        <w:docPartObj>
          <w:docPartGallery w:val="Table of Contents"/>
          <w:docPartUnique/>
        </w:docPartObj>
      </w:sdtPr>
      <w:sdtEndPr>
        <w:rPr>
          <w:b/>
          <w:bCs/>
          <w:caps w:val="0"/>
          <w:noProof/>
          <w:szCs w:val="22"/>
        </w:rPr>
      </w:sdtEndPr>
      <w:sdtContent>
        <w:p w:rsidR="006538A2" w:rsidRPr="00767038" w:rsidRDefault="00FC2DE4" w:rsidP="00177429">
          <w:pPr>
            <w:pStyle w:val="Nagwekspisutreci"/>
            <w:numPr>
              <w:ilvl w:val="0"/>
              <w:numId w:val="0"/>
            </w:numPr>
            <w:rPr>
              <w:rStyle w:val="Nagwek1Znak"/>
              <w:lang w:val="pl-PL"/>
            </w:rPr>
          </w:pPr>
          <w:r w:rsidRPr="00767038">
            <w:rPr>
              <w:rStyle w:val="Nagwek1Znak"/>
              <w:bCs/>
              <w:lang w:val="pl-PL"/>
            </w:rPr>
            <w:t>Spis treści</w:t>
          </w:r>
        </w:p>
        <w:p w:rsidR="00767038" w:rsidRPr="00767038" w:rsidRDefault="00212C8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u w:val="none"/>
              <w:lang w:val="pl-PL" w:eastAsia="pl-PL"/>
            </w:rPr>
          </w:pPr>
          <w:r w:rsidRPr="00767038">
            <w:rPr>
              <w:sz w:val="16"/>
              <w:lang w:val="pl-PL"/>
            </w:rPr>
            <w:fldChar w:fldCharType="begin"/>
          </w:r>
          <w:r w:rsidR="00495BA7" w:rsidRPr="00767038">
            <w:rPr>
              <w:sz w:val="16"/>
              <w:lang w:val="pl-PL"/>
            </w:rPr>
            <w:instrText xml:space="preserve"> TOC \o "1-2" \h \z \u </w:instrText>
          </w:r>
          <w:r w:rsidRPr="00767038">
            <w:rPr>
              <w:sz w:val="16"/>
              <w:lang w:val="pl-PL"/>
            </w:rPr>
            <w:fldChar w:fldCharType="separate"/>
          </w:r>
          <w:hyperlink w:anchor="_Toc505238500" w:history="1">
            <w:r w:rsidR="00767038" w:rsidRPr="00767038">
              <w:rPr>
                <w:rStyle w:val="Hipercze"/>
                <w:noProof/>
                <w:lang w:val="pl-PL"/>
              </w:rPr>
              <w:t>1</w:t>
            </w:r>
            <w:r w:rsidR="00767038" w:rsidRPr="0076703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u w:val="none"/>
                <w:lang w:val="pl-PL" w:eastAsia="pl-PL"/>
              </w:rPr>
              <w:tab/>
            </w:r>
            <w:r w:rsidR="00767038" w:rsidRPr="00767038">
              <w:rPr>
                <w:rStyle w:val="Hipercze"/>
                <w:noProof/>
                <w:lang w:val="pl-PL"/>
              </w:rPr>
              <w:t>Wprowadzenie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_Toc505238500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5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u w:val="none"/>
              <w:lang w:val="pl-PL" w:eastAsia="pl-PL"/>
            </w:rPr>
          </w:pPr>
          <w:hyperlink w:anchor="_Toc505238501" w:history="1">
            <w:r w:rsidR="00767038" w:rsidRPr="00767038">
              <w:rPr>
                <w:rStyle w:val="Hipercze"/>
                <w:noProof/>
                <w:lang w:val="pl-PL"/>
              </w:rPr>
              <w:t>2</w:t>
            </w:r>
            <w:r w:rsidR="00767038" w:rsidRPr="0076703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u w:val="none"/>
                <w:lang w:val="pl-PL" w:eastAsia="pl-PL"/>
              </w:rPr>
              <w:tab/>
            </w:r>
            <w:r w:rsidR="00767038" w:rsidRPr="00767038">
              <w:rPr>
                <w:rStyle w:val="Hipercze"/>
                <w:noProof/>
                <w:lang w:val="pl-PL"/>
              </w:rPr>
              <w:t>Faza przygotowania/planowania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_Toc505238501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5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2" w:history="1">
            <w:r w:rsidR="00767038" w:rsidRPr="00767038">
              <w:rPr>
                <w:rStyle w:val="Hipercze"/>
                <w:noProof/>
                <w:lang w:val="pl-PL"/>
              </w:rPr>
              <w:t>2.1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Informacje niezbędne przed zawarciem Umowy w sprawie programu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_Toc505238502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5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3" w:history="1">
            <w:r w:rsidR="00767038" w:rsidRPr="00767038">
              <w:rPr>
                <w:rStyle w:val="Hipercze"/>
                <w:noProof/>
                <w:lang w:val="pl-PL"/>
              </w:rPr>
              <w:t>2.2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Poziomy dofinansowania i współfinansowanie (art. 6.4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_Toc505238503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9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4" w:history="1">
            <w:r w:rsidR="00767038" w:rsidRPr="00767038">
              <w:rPr>
                <w:rStyle w:val="Hipercze"/>
                <w:noProof/>
                <w:lang w:val="pl-PL"/>
              </w:rPr>
              <w:t>2.3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Pomoc techniczna dla Państwa-Beneficjenta (art. 8.11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_Toc505238504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11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5" w:history="1">
            <w:r w:rsidR="00767038" w:rsidRPr="00767038">
              <w:rPr>
                <w:rStyle w:val="Hipercze"/>
                <w:noProof/>
                <w:lang w:val="pl-PL"/>
              </w:rPr>
              <w:t>2.4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Kwalifikowalność wydatków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_Toc505238505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13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6" w:history="1">
            <w:r w:rsidR="00767038" w:rsidRPr="00767038">
              <w:rPr>
                <w:rStyle w:val="Hipercze"/>
                <w:noProof/>
                <w:lang w:val="pl-PL"/>
              </w:rPr>
              <w:t>2.5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Wydatki kwalifikowalne w ramach Funduszu Współpracy Dwustronnej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_Toc505238506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16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7" w:history="1">
            <w:r w:rsidR="00767038" w:rsidRPr="00767038">
              <w:rPr>
                <w:rStyle w:val="Hipercze"/>
                <w:noProof/>
                <w:lang w:val="pl-PL"/>
              </w:rPr>
              <w:t>2.6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Wydatki kwalifikowalne w ramach programu (art. 8.1, 8.10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_Toc505238507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19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8" w:history="1">
            <w:r w:rsidR="00767038" w:rsidRPr="00767038">
              <w:rPr>
                <w:rStyle w:val="Hipercze"/>
                <w:noProof/>
                <w:lang w:val="pl-PL"/>
              </w:rPr>
              <w:t>2.7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Bezpośrednie wydatki kwalifikowalne w ramach projektu (art. 8.3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_Toc505238508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20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09" w:history="1">
            <w:r w:rsidR="00767038" w:rsidRPr="00767038">
              <w:rPr>
                <w:rStyle w:val="Hipercze"/>
                <w:noProof/>
                <w:lang w:val="pl-PL"/>
              </w:rPr>
              <w:t>2.8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Koszty pośrednie projektów (art. 8.5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_Toc505238509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25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0" w:history="1">
            <w:r w:rsidR="00767038" w:rsidRPr="00767038">
              <w:rPr>
                <w:rStyle w:val="Hipercze"/>
                <w:noProof/>
                <w:lang w:val="pl-PL"/>
              </w:rPr>
              <w:t>2.9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Standardowe stawki jednostkowe (art. 8.4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_Toc505238510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26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1" w:history="1">
            <w:r w:rsidR="00767038" w:rsidRPr="00767038">
              <w:rPr>
                <w:rStyle w:val="Hipercze"/>
                <w:noProof/>
                <w:lang w:val="pl-PL"/>
              </w:rPr>
              <w:t>2.10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Wydatki niekwalifikowalne – koszty wyłączone (art. 8.7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_Toc505238511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27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D1367F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2" w:history="1">
            <w:r w:rsidR="00767038" w:rsidRPr="00767038">
              <w:rPr>
                <w:rStyle w:val="Hipercze"/>
                <w:noProof/>
                <w:lang w:val="pl-PL"/>
              </w:rPr>
              <w:t>2.11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Systemy zarządzania i kontroli (art. 5.1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_Toc505238512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28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F115F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u w:val="none"/>
              <w:lang w:val="pl-PL" w:eastAsia="pl-PL"/>
            </w:rPr>
          </w:pPr>
          <w:hyperlink w:anchor="_Toc505238513" w:history="1">
            <w:r w:rsidRPr="00767038">
              <w:rPr>
                <w:rStyle w:val="Hipercze"/>
                <w:noProof/>
                <w:lang w:val="pl-PL"/>
              </w:rPr>
              <w:t>3</w:t>
            </w:r>
            <w:r w:rsidRPr="0076703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u w:val="none"/>
                <w:lang w:val="pl-PL" w:eastAsia="pl-PL"/>
              </w:rPr>
              <w:tab/>
            </w:r>
            <w:r w:rsidRPr="00767038">
              <w:rPr>
                <w:rStyle w:val="Hipercze"/>
                <w:noProof/>
                <w:lang w:val="pl-PL"/>
              </w:rPr>
              <w:t>Faza realizacji</w:t>
            </w:r>
            <w:r w:rsidRPr="00767038">
              <w:rPr>
                <w:noProof/>
                <w:webHidden/>
                <w:lang w:val="pl-PL"/>
              </w:rPr>
              <w:tab/>
            </w:r>
            <w:r w:rsidRPr="00767038">
              <w:rPr>
                <w:noProof/>
                <w:webHidden/>
                <w:lang w:val="pl-PL"/>
              </w:rPr>
              <w:fldChar w:fldCharType="begin"/>
            </w:r>
            <w:r w:rsidRPr="00767038">
              <w:rPr>
                <w:noProof/>
                <w:webHidden/>
                <w:lang w:val="pl-PL"/>
              </w:rPr>
              <w:instrText xml:space="preserve"> PAGEREF _Toc505238513 \h </w:instrText>
            </w:r>
            <w:r w:rsidRPr="00767038">
              <w:rPr>
                <w:noProof/>
                <w:webHidden/>
                <w:lang w:val="pl-PL"/>
              </w:rPr>
            </w:r>
            <w:r w:rsidRPr="00767038">
              <w:rPr>
                <w:noProof/>
                <w:webHidden/>
                <w:lang w:val="pl-PL"/>
              </w:rPr>
              <w:fldChar w:fldCharType="separate"/>
            </w:r>
            <w:r>
              <w:rPr>
                <w:noProof/>
                <w:webHidden/>
                <w:lang w:val="pl-PL"/>
              </w:rPr>
              <w:t>33</w:t>
            </w:r>
            <w:r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4" w:history="1">
            <w:r w:rsidR="00767038" w:rsidRPr="00767038">
              <w:rPr>
                <w:rStyle w:val="Hipercze"/>
                <w:noProof/>
                <w:lang w:val="pl-PL"/>
              </w:rPr>
              <w:t>3.1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Sprawozdawczość i płatności (art. 9.1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_Toc505238514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3</w:t>
            </w:r>
            <w:r w:rsidR="00F115F1">
              <w:rPr>
                <w:noProof/>
                <w:webHidden/>
                <w:lang w:val="pl-PL"/>
              </w:rPr>
              <w:t>3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5" w:history="1">
            <w:r w:rsidR="00767038" w:rsidRPr="00767038">
              <w:rPr>
                <w:rStyle w:val="Hipercze"/>
                <w:noProof/>
                <w:lang w:val="pl-PL"/>
              </w:rPr>
              <w:t>3.2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Poświadczanie wydatków przez IC (art. 5.4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_Toc505238515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3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F115F1">
            <w:rPr>
              <w:noProof/>
              <w:lang w:val="pl-PL"/>
            </w:rPr>
            <w:t>7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6" w:history="1">
            <w:r w:rsidR="00767038" w:rsidRPr="00767038">
              <w:rPr>
                <w:rStyle w:val="Hipercze"/>
                <w:noProof/>
                <w:lang w:val="pl-PL"/>
              </w:rPr>
              <w:t>3.3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Monitoring zgodności: weryfikacje prowadzone przez Operator</w:t>
            </w:r>
            <w:r w:rsidR="00AC5AB6">
              <w:rPr>
                <w:rStyle w:val="Hipercze"/>
                <w:iCs/>
                <w:noProof/>
                <w:lang w:val="pl-PL"/>
              </w:rPr>
              <w:t>a</w:t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 xml:space="preserve"> Programu (art. 5.6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_Toc505238516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3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F115F1">
            <w:rPr>
              <w:noProof/>
              <w:lang w:val="pl-PL"/>
            </w:rPr>
            <w:t>9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7" w:history="1">
            <w:r w:rsidR="00767038" w:rsidRPr="00767038">
              <w:rPr>
                <w:rStyle w:val="Hipercze"/>
                <w:noProof/>
                <w:lang w:val="pl-PL"/>
              </w:rPr>
              <w:t>3.4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Udokumentowanie wydatków (art. 8.12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_Toc505238517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4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F115F1">
            <w:rPr>
              <w:noProof/>
              <w:lang w:val="pl-PL"/>
            </w:rPr>
            <w:t>4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8" w:history="1">
            <w:r w:rsidR="00767038" w:rsidRPr="00767038">
              <w:rPr>
                <w:rStyle w:val="Hipercze"/>
                <w:noProof/>
                <w:lang w:val="pl-PL"/>
              </w:rPr>
              <w:t>3.5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Odsetki (art. 9.7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_Toc505238518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4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62282B">
            <w:rPr>
              <w:noProof/>
              <w:lang w:val="pl-PL"/>
            </w:rPr>
            <w:t>7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19" w:history="1">
            <w:r w:rsidR="00767038" w:rsidRPr="00767038">
              <w:rPr>
                <w:rStyle w:val="Hipercze"/>
                <w:noProof/>
                <w:lang w:val="pl-PL"/>
              </w:rPr>
              <w:t>3.6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Prognoza dotycząca planowanych przyszłych płatności dla programów (art. 9.5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_Toc505238519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4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62282B">
            <w:rPr>
              <w:noProof/>
              <w:lang w:val="pl-PL"/>
            </w:rPr>
            <w:t>8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0" w:history="1">
            <w:r w:rsidR="00767038" w:rsidRPr="00767038">
              <w:rPr>
                <w:rStyle w:val="Hipercze"/>
                <w:noProof/>
                <w:lang w:val="pl-PL"/>
              </w:rPr>
              <w:t>3.7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Udział partnerów programów i międzynarodowych organizacji partnerskich (MOP) w programach lub projektach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_Toc505238520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4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62282B">
            <w:rPr>
              <w:noProof/>
              <w:lang w:val="pl-PL"/>
            </w:rPr>
            <w:t>8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1" w:history="1">
            <w:r w:rsidR="00767038" w:rsidRPr="00767038">
              <w:rPr>
                <w:rStyle w:val="Hipercze"/>
                <w:noProof/>
                <w:lang w:val="pl-PL"/>
              </w:rPr>
              <w:t>3.8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Strategia audytu (art. 5.5.1 lit. (d)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_Toc505238521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4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62282B">
            <w:rPr>
              <w:noProof/>
              <w:lang w:val="pl-PL"/>
            </w:rPr>
            <w:t>9</w:t>
          </w:r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2" w:history="1">
            <w:r w:rsidR="00767038" w:rsidRPr="00767038">
              <w:rPr>
                <w:rStyle w:val="Hipercze"/>
                <w:noProof/>
                <w:lang w:val="pl-PL"/>
              </w:rPr>
              <w:t>3.9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Raport roczny z audytu oraz opinia z audytu (art. 5.5.1 lit. (e)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_Toc505238522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5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635E1A">
            <w:rPr>
              <w:noProof/>
              <w:lang w:val="pl-PL"/>
            </w:rPr>
            <w:t>3</w:t>
          </w:r>
        </w:p>
        <w:p w:rsidR="00767038" w:rsidRPr="00767038" w:rsidRDefault="00D03B6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u w:val="none"/>
              <w:lang w:val="pl-PL" w:eastAsia="pl-PL"/>
            </w:rPr>
          </w:pPr>
          <w:hyperlink w:anchor="_Toc505238523" w:history="1">
            <w:r w:rsidRPr="00767038">
              <w:rPr>
                <w:rStyle w:val="Hipercze"/>
                <w:noProof/>
                <w:lang w:val="pl-PL"/>
              </w:rPr>
              <w:t>4</w:t>
            </w:r>
            <w:r w:rsidRPr="0076703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u w:val="none"/>
                <w:lang w:val="pl-PL" w:eastAsia="pl-PL"/>
              </w:rPr>
              <w:tab/>
            </w:r>
            <w:r w:rsidRPr="00767038">
              <w:rPr>
                <w:rStyle w:val="Hipercze"/>
                <w:noProof/>
                <w:lang w:val="pl-PL"/>
              </w:rPr>
              <w:t>Faza zamknięcia</w:t>
            </w:r>
            <w:r w:rsidRPr="00767038">
              <w:rPr>
                <w:noProof/>
                <w:webHidden/>
                <w:lang w:val="pl-PL"/>
              </w:rPr>
              <w:tab/>
            </w:r>
            <w:r>
              <w:rPr>
                <w:noProof/>
                <w:webHidden/>
                <w:lang w:val="pl-PL"/>
              </w:rPr>
              <w:t>60</w:t>
            </w:r>
          </w:hyperlink>
        </w:p>
        <w:p w:rsidR="00767038" w:rsidRPr="00767038" w:rsidRDefault="005A6E0A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4" w:history="1">
            <w:r w:rsidRPr="00767038">
              <w:rPr>
                <w:rStyle w:val="Hipercze"/>
                <w:noProof/>
                <w:lang w:val="pl-PL"/>
              </w:rPr>
              <w:t>4.1</w:t>
            </w:r>
            <w:r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Pr="00767038">
              <w:rPr>
                <w:rStyle w:val="Hipercze"/>
                <w:iCs/>
                <w:noProof/>
                <w:lang w:val="pl-PL"/>
              </w:rPr>
              <w:t>Saldo końcowe (art. 9.4 Regulacji)</w:t>
            </w:r>
            <w:r w:rsidRPr="00767038">
              <w:rPr>
                <w:noProof/>
                <w:webHidden/>
                <w:lang w:val="pl-PL"/>
              </w:rPr>
              <w:tab/>
            </w:r>
            <w:r>
              <w:rPr>
                <w:noProof/>
                <w:webHidden/>
                <w:lang w:val="pl-PL"/>
              </w:rPr>
              <w:t>60</w:t>
            </w:r>
          </w:hyperlink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5" w:history="1">
            <w:r w:rsidR="00767038" w:rsidRPr="00767038">
              <w:rPr>
                <w:rStyle w:val="Hipercze"/>
                <w:noProof/>
                <w:lang w:val="pl-PL"/>
              </w:rPr>
              <w:t>4.2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Deklaracja zamknięcia (art 5.5.1 lit. (f) Regulacji)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_Toc505238525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6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5A6E0A">
            <w:rPr>
              <w:noProof/>
              <w:lang w:val="pl-PL"/>
            </w:rPr>
            <w:t>1</w:t>
          </w:r>
        </w:p>
        <w:p w:rsidR="00767038" w:rsidRPr="00767038" w:rsidRDefault="0055016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u w:val="none"/>
              <w:lang w:val="pl-PL" w:eastAsia="pl-PL"/>
            </w:rPr>
          </w:pPr>
          <w:hyperlink w:anchor="_Toc505238526" w:history="1">
            <w:r w:rsidRPr="00767038">
              <w:rPr>
                <w:rStyle w:val="Hipercze"/>
                <w:noProof/>
                <w:lang w:val="pl-PL"/>
              </w:rPr>
              <w:t>5</w:t>
            </w:r>
            <w:r w:rsidRPr="0076703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u w:val="none"/>
                <w:lang w:val="pl-PL" w:eastAsia="pl-PL"/>
              </w:rPr>
              <w:tab/>
            </w:r>
            <w:r w:rsidRPr="00767038">
              <w:rPr>
                <w:rStyle w:val="Hipercze"/>
                <w:noProof/>
                <w:lang w:val="pl-PL"/>
              </w:rPr>
              <w:t>Załączniki</w:t>
            </w:r>
            <w:r w:rsidRPr="00767038">
              <w:rPr>
                <w:noProof/>
                <w:webHidden/>
                <w:lang w:val="pl-PL"/>
              </w:rPr>
              <w:tab/>
            </w:r>
            <w:r w:rsidRPr="00767038">
              <w:rPr>
                <w:noProof/>
                <w:webHidden/>
                <w:lang w:val="pl-PL"/>
              </w:rPr>
              <w:fldChar w:fldCharType="begin"/>
            </w:r>
            <w:r w:rsidRPr="00767038">
              <w:rPr>
                <w:noProof/>
                <w:webHidden/>
                <w:lang w:val="pl-PL"/>
              </w:rPr>
              <w:instrText xml:space="preserve"> PAGEREF _Toc505238526 \h </w:instrText>
            </w:r>
            <w:r w:rsidRPr="00767038">
              <w:rPr>
                <w:noProof/>
                <w:webHidden/>
                <w:lang w:val="pl-PL"/>
              </w:rPr>
            </w:r>
            <w:r w:rsidRPr="00767038">
              <w:rPr>
                <w:noProof/>
                <w:webHidden/>
                <w:lang w:val="pl-PL"/>
              </w:rPr>
              <w:fldChar w:fldCharType="separate"/>
            </w:r>
            <w:r>
              <w:rPr>
                <w:noProof/>
                <w:webHidden/>
                <w:lang w:val="pl-PL"/>
              </w:rPr>
              <w:t>62</w:t>
            </w:r>
            <w:r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55016E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7" w:history="1">
            <w:r w:rsidRPr="00767038">
              <w:rPr>
                <w:rStyle w:val="Hipercze"/>
                <w:noProof/>
                <w:lang w:val="pl-PL"/>
              </w:rPr>
              <w:t>5.1</w:t>
            </w:r>
            <w:r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Pr="00767038">
              <w:rPr>
                <w:rStyle w:val="Hipercze"/>
                <w:iCs/>
                <w:noProof/>
                <w:lang w:val="pl-PL"/>
              </w:rPr>
              <w:t>Zestawienie terminów kwalifikowalności wydatków</w:t>
            </w:r>
            <w:r w:rsidRPr="00767038">
              <w:rPr>
                <w:noProof/>
                <w:webHidden/>
                <w:lang w:val="pl-PL"/>
              </w:rPr>
              <w:tab/>
            </w:r>
            <w:r w:rsidRPr="00767038">
              <w:rPr>
                <w:noProof/>
                <w:webHidden/>
                <w:lang w:val="pl-PL"/>
              </w:rPr>
              <w:fldChar w:fldCharType="begin"/>
            </w:r>
            <w:r w:rsidRPr="00767038">
              <w:rPr>
                <w:noProof/>
                <w:webHidden/>
                <w:lang w:val="pl-PL"/>
              </w:rPr>
              <w:instrText xml:space="preserve"> PAGEREF _Toc505238527 \h </w:instrText>
            </w:r>
            <w:r w:rsidRPr="00767038">
              <w:rPr>
                <w:noProof/>
                <w:webHidden/>
                <w:lang w:val="pl-PL"/>
              </w:rPr>
            </w:r>
            <w:r w:rsidRPr="00767038">
              <w:rPr>
                <w:noProof/>
                <w:webHidden/>
                <w:lang w:val="pl-PL"/>
              </w:rPr>
              <w:fldChar w:fldCharType="separate"/>
            </w:r>
            <w:r>
              <w:rPr>
                <w:noProof/>
                <w:webHidden/>
                <w:lang w:val="pl-PL"/>
              </w:rPr>
              <w:t>62</w:t>
            </w:r>
            <w:r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55016E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8" w:history="1">
            <w:r w:rsidRPr="00767038">
              <w:rPr>
                <w:rStyle w:val="Hipercze"/>
                <w:noProof/>
                <w:lang w:val="pl-PL"/>
              </w:rPr>
              <w:t>5.2</w:t>
            </w:r>
            <w:r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Pr="00767038">
              <w:rPr>
                <w:rStyle w:val="Hipercze"/>
                <w:iCs/>
                <w:noProof/>
                <w:lang w:val="pl-PL"/>
              </w:rPr>
              <w:t>Zestawienie terminów przesyłania dokumentów</w:t>
            </w:r>
            <w:r w:rsidRPr="00767038">
              <w:rPr>
                <w:noProof/>
                <w:webHidden/>
                <w:lang w:val="pl-PL"/>
              </w:rPr>
              <w:tab/>
            </w:r>
            <w:r w:rsidRPr="00767038">
              <w:rPr>
                <w:noProof/>
                <w:webHidden/>
                <w:lang w:val="pl-PL"/>
              </w:rPr>
              <w:fldChar w:fldCharType="begin"/>
            </w:r>
            <w:r w:rsidRPr="00767038">
              <w:rPr>
                <w:noProof/>
                <w:webHidden/>
                <w:lang w:val="pl-PL"/>
              </w:rPr>
              <w:instrText xml:space="preserve"> PAGEREF _Toc505238528 \h </w:instrText>
            </w:r>
            <w:r w:rsidRPr="00767038">
              <w:rPr>
                <w:noProof/>
                <w:webHidden/>
                <w:lang w:val="pl-PL"/>
              </w:rPr>
            </w:r>
            <w:r w:rsidRPr="00767038">
              <w:rPr>
                <w:noProof/>
                <w:webHidden/>
                <w:lang w:val="pl-PL"/>
              </w:rPr>
              <w:fldChar w:fldCharType="separate"/>
            </w:r>
            <w:r>
              <w:rPr>
                <w:noProof/>
                <w:webHidden/>
                <w:lang w:val="pl-PL"/>
              </w:rPr>
              <w:t>64</w:t>
            </w:r>
            <w:r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55016E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29" w:history="1">
            <w:r w:rsidRPr="00767038">
              <w:rPr>
                <w:rStyle w:val="Hipercze"/>
                <w:noProof/>
                <w:lang w:val="pl-PL"/>
              </w:rPr>
              <w:t>5.3</w:t>
            </w:r>
            <w:r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Pr="00767038">
              <w:rPr>
                <w:rStyle w:val="Hipercze"/>
                <w:iCs/>
                <w:noProof/>
                <w:lang w:val="pl-PL"/>
              </w:rPr>
              <w:t>Schemat i okresy raportowania finansowego</w:t>
            </w:r>
            <w:r w:rsidRPr="00767038">
              <w:rPr>
                <w:noProof/>
                <w:webHidden/>
                <w:lang w:val="pl-PL"/>
              </w:rPr>
              <w:tab/>
            </w:r>
            <w:r w:rsidRPr="00767038">
              <w:rPr>
                <w:noProof/>
                <w:webHidden/>
                <w:lang w:val="pl-PL"/>
              </w:rPr>
              <w:fldChar w:fldCharType="begin"/>
            </w:r>
            <w:r w:rsidRPr="00767038">
              <w:rPr>
                <w:noProof/>
                <w:webHidden/>
                <w:lang w:val="pl-PL"/>
              </w:rPr>
              <w:instrText xml:space="preserve"> PAGEREF _Toc505238529 \h </w:instrText>
            </w:r>
            <w:r w:rsidRPr="00767038">
              <w:rPr>
                <w:noProof/>
                <w:webHidden/>
                <w:lang w:val="pl-PL"/>
              </w:rPr>
            </w:r>
            <w:r w:rsidRPr="00767038">
              <w:rPr>
                <w:noProof/>
                <w:webHidden/>
                <w:lang w:val="pl-PL"/>
              </w:rPr>
              <w:fldChar w:fldCharType="separate"/>
            </w:r>
            <w:r>
              <w:rPr>
                <w:noProof/>
                <w:webHidden/>
                <w:lang w:val="pl-PL"/>
              </w:rPr>
              <w:t>66</w:t>
            </w:r>
            <w:r w:rsidRPr="00767038">
              <w:rPr>
                <w:noProof/>
                <w:webHidden/>
                <w:lang w:val="pl-PL"/>
              </w:rPr>
              <w:fldChar w:fldCharType="end"/>
            </w:r>
          </w:hyperlink>
        </w:p>
        <w:p w:rsidR="00767038" w:rsidRPr="00767038" w:rsidRDefault="00C522D7">
          <w:pPr>
            <w:pStyle w:val="Spistreci2"/>
            <w:rPr>
              <w:rFonts w:eastAsiaTheme="minorEastAsia"/>
              <w:bCs w:val="0"/>
              <w:noProof/>
              <w:sz w:val="22"/>
              <w:lang w:val="pl-PL" w:eastAsia="pl-PL"/>
            </w:rPr>
          </w:pPr>
          <w:hyperlink w:anchor="_Toc505238530" w:history="1">
            <w:r w:rsidR="00767038" w:rsidRPr="00767038">
              <w:rPr>
                <w:rStyle w:val="Hipercze"/>
                <w:noProof/>
                <w:lang w:val="pl-PL"/>
              </w:rPr>
              <w:t>5.4</w:t>
            </w:r>
            <w:r w:rsidR="00767038" w:rsidRPr="00767038">
              <w:rPr>
                <w:rFonts w:eastAsiaTheme="minorEastAsia"/>
                <w:bCs w:val="0"/>
                <w:noProof/>
                <w:sz w:val="22"/>
                <w:lang w:val="pl-PL" w:eastAsia="pl-PL"/>
              </w:rPr>
              <w:tab/>
            </w:r>
            <w:r w:rsidR="00767038" w:rsidRPr="00767038">
              <w:rPr>
                <w:rStyle w:val="Hipercze"/>
                <w:iCs/>
                <w:noProof/>
                <w:lang w:val="pl-PL"/>
              </w:rPr>
              <w:t>Wzór poświadczenia kosztów, o które wnioskuje partner darczyńca</w:t>
            </w:r>
            <w:r w:rsidR="00767038" w:rsidRPr="00767038">
              <w:rPr>
                <w:noProof/>
                <w:webHidden/>
                <w:lang w:val="pl-PL"/>
              </w:rPr>
              <w:tab/>
            </w:r>
            <w:r w:rsidR="00767038" w:rsidRPr="00767038">
              <w:rPr>
                <w:noProof/>
                <w:webHidden/>
                <w:lang w:val="pl-PL"/>
              </w:rPr>
              <w:fldChar w:fldCharType="begin"/>
            </w:r>
            <w:r w:rsidR="00767038" w:rsidRPr="00767038">
              <w:rPr>
                <w:noProof/>
                <w:webHidden/>
                <w:lang w:val="pl-PL"/>
              </w:rPr>
              <w:instrText xml:space="preserve"> PAGEREF _Toc505238530 \h </w:instrText>
            </w:r>
            <w:r w:rsidR="00767038" w:rsidRPr="00767038">
              <w:rPr>
                <w:noProof/>
                <w:webHidden/>
                <w:lang w:val="pl-PL"/>
              </w:rPr>
            </w:r>
            <w:r w:rsidR="00767038" w:rsidRPr="00767038">
              <w:rPr>
                <w:noProof/>
                <w:webHidden/>
                <w:lang w:val="pl-PL"/>
              </w:rPr>
              <w:fldChar w:fldCharType="separate"/>
            </w:r>
            <w:r w:rsidR="00EA5AAF">
              <w:rPr>
                <w:noProof/>
                <w:webHidden/>
                <w:lang w:val="pl-PL"/>
              </w:rPr>
              <w:t>6</w:t>
            </w:r>
            <w:r w:rsidR="00767038" w:rsidRPr="00767038">
              <w:rPr>
                <w:noProof/>
                <w:webHidden/>
                <w:lang w:val="pl-PL"/>
              </w:rPr>
              <w:fldChar w:fldCharType="end"/>
            </w:r>
          </w:hyperlink>
          <w:r w:rsidR="00D03B6A">
            <w:rPr>
              <w:noProof/>
              <w:lang w:val="pl-PL"/>
            </w:rPr>
            <w:t>7</w:t>
          </w:r>
        </w:p>
        <w:p w:rsidR="006538A2" w:rsidRPr="00767038" w:rsidRDefault="00212C8A" w:rsidP="00376576">
          <w:pPr>
            <w:rPr>
              <w:lang w:val="pl-PL"/>
            </w:rPr>
          </w:pPr>
          <w:r w:rsidRPr="00767038">
            <w:rPr>
              <w:sz w:val="16"/>
              <w:u w:val="single"/>
              <w:lang w:val="pl-PL"/>
            </w:rPr>
            <w:fldChar w:fldCharType="end"/>
          </w:r>
        </w:p>
      </w:sdtContent>
    </w:sdt>
    <w:p w:rsidR="009511AF" w:rsidRPr="00767038" w:rsidRDefault="00AA185F" w:rsidP="00DF4BD0">
      <w:pPr>
        <w:spacing w:before="0" w:after="160"/>
        <w:jc w:val="left"/>
        <w:rPr>
          <w:rStyle w:val="Hipercze"/>
          <w:b/>
          <w:bCs/>
          <w:caps/>
          <w:noProof/>
          <w:color w:val="000000" w:themeColor="text1"/>
          <w:lang w:val="pl-PL"/>
        </w:rPr>
      </w:pPr>
      <w:r w:rsidRPr="00767038">
        <w:rPr>
          <w:rStyle w:val="Hipercze"/>
          <w:caps/>
          <w:noProof/>
          <w:color w:val="000000" w:themeColor="text1"/>
          <w:u w:val="none"/>
          <w:lang w:val="pl-PL"/>
        </w:rPr>
        <w:br w:type="page"/>
      </w:r>
      <w:r w:rsidRPr="00767038">
        <w:rPr>
          <w:rStyle w:val="Hipercze"/>
          <w:b/>
          <w:bCs/>
          <w:caps/>
          <w:noProof/>
          <w:color w:val="000000" w:themeColor="text1"/>
          <w:lang w:val="pl-PL"/>
        </w:rPr>
        <w:lastRenderedPageBreak/>
        <w:t>TABELE</w:t>
      </w:r>
    </w:p>
    <w:p w:rsidR="00B81613" w:rsidRPr="00767038" w:rsidRDefault="00B81613" w:rsidP="001A4A3B">
      <w:pPr>
        <w:spacing w:before="0" w:after="160"/>
        <w:jc w:val="left"/>
        <w:rPr>
          <w:lang w:val="pl-PL"/>
        </w:rPr>
      </w:pPr>
    </w:p>
    <w:p w:rsidR="00B81613" w:rsidRPr="00767038" w:rsidRDefault="00C522D7" w:rsidP="00B81613">
      <w:pPr>
        <w:rPr>
          <w:lang w:val="pl-PL"/>
        </w:rPr>
      </w:pPr>
      <w:hyperlink w:anchor="First_table" w:history="1">
        <w:r w:rsidR="003B5E76" w:rsidRPr="00767038">
          <w:rPr>
            <w:rStyle w:val="Hipercze"/>
            <w:color w:val="auto"/>
            <w:u w:val="none"/>
            <w:lang w:val="pl-PL"/>
          </w:rPr>
          <w:t>Tabela 1:</w:t>
        </w:r>
        <w:r w:rsidR="00265F1A" w:rsidRPr="00767038">
          <w:rPr>
            <w:rStyle w:val="Hipercze"/>
            <w:color w:val="auto"/>
            <w:u w:val="none"/>
            <w:lang w:val="pl-PL"/>
          </w:rPr>
          <w:t xml:space="preserve"> B</w:t>
        </w:r>
        <w:r w:rsidR="003B5E76" w:rsidRPr="00767038">
          <w:rPr>
            <w:rStyle w:val="Hipercze"/>
            <w:color w:val="auto"/>
            <w:u w:val="none"/>
            <w:lang w:val="pl-PL"/>
          </w:rPr>
          <w:t>udżet……………………………</w:t>
        </w:r>
        <w:r w:rsidR="00265F1A" w:rsidRPr="00767038">
          <w:rPr>
            <w:rStyle w:val="Hipercze"/>
            <w:color w:val="auto"/>
            <w:u w:val="none"/>
            <w:lang w:val="pl-PL"/>
          </w:rPr>
          <w:t>…………………………………………………………………………………</w:t>
        </w:r>
        <w:r w:rsidR="003B5E76" w:rsidRPr="00767038">
          <w:rPr>
            <w:rStyle w:val="Hipercze"/>
            <w:color w:val="auto"/>
            <w:u w:val="none"/>
            <w:lang w:val="pl-PL"/>
          </w:rPr>
          <w:t>…</w:t>
        </w:r>
        <w:r w:rsidR="0030157E">
          <w:rPr>
            <w:rStyle w:val="Hipercze"/>
            <w:color w:val="auto"/>
            <w:u w:val="none"/>
            <w:lang w:val="pl-PL"/>
          </w:rPr>
          <w:t>5</w:t>
        </w:r>
      </w:hyperlink>
    </w:p>
    <w:p w:rsidR="00B81613" w:rsidRPr="00767038" w:rsidRDefault="00D1367F" w:rsidP="00B81613">
      <w:pPr>
        <w:rPr>
          <w:lang w:val="pl-PL"/>
        </w:rPr>
      </w:pPr>
      <w:hyperlink w:anchor="Second_table" w:history="1">
        <w:r w:rsidR="003B5E76" w:rsidRPr="00767038">
          <w:rPr>
            <w:rStyle w:val="Hipercze"/>
            <w:color w:val="auto"/>
            <w:u w:val="none"/>
            <w:lang w:val="pl-PL"/>
          </w:rPr>
          <w:t>Tabela 2: Podział kosztów zarządzania według kategorii……………………………………………</w:t>
        </w:r>
        <w:r w:rsidR="00265F1A" w:rsidRPr="00767038">
          <w:rPr>
            <w:rStyle w:val="Hipercze"/>
            <w:color w:val="auto"/>
            <w:u w:val="none"/>
            <w:lang w:val="pl-PL"/>
          </w:rPr>
          <w:t>………</w:t>
        </w:r>
        <w:r w:rsidR="003B5E76" w:rsidRPr="00767038">
          <w:rPr>
            <w:rStyle w:val="Hipercze"/>
            <w:color w:val="auto"/>
            <w:u w:val="none"/>
            <w:lang w:val="pl-PL"/>
          </w:rPr>
          <w:t>7</w:t>
        </w:r>
      </w:hyperlink>
    </w:p>
    <w:p w:rsidR="00B81613" w:rsidRPr="00767038" w:rsidRDefault="00D1367F" w:rsidP="00B81613">
      <w:pPr>
        <w:rPr>
          <w:lang w:val="pl-PL"/>
        </w:rPr>
      </w:pPr>
      <w:hyperlink w:anchor="Third_table" w:history="1">
        <w:r w:rsidR="003B5E76" w:rsidRPr="00767038">
          <w:rPr>
            <w:rStyle w:val="Hipercze"/>
            <w:color w:val="auto"/>
            <w:u w:val="none"/>
            <w:lang w:val="pl-PL"/>
          </w:rPr>
          <w:t>Tabela 3: Koszty zarządzania programem według pozycji budżetowych</w:t>
        </w:r>
        <w:r w:rsidR="00265F1A" w:rsidRPr="00767038">
          <w:rPr>
            <w:rStyle w:val="Hipercze"/>
            <w:color w:val="auto"/>
            <w:u w:val="none"/>
            <w:lang w:val="pl-PL"/>
          </w:rPr>
          <w:t xml:space="preserve"> – przykład…………</w:t>
        </w:r>
        <w:r w:rsidR="003B5E76" w:rsidRPr="00767038">
          <w:rPr>
            <w:rStyle w:val="Hipercze"/>
            <w:color w:val="auto"/>
            <w:u w:val="none"/>
            <w:lang w:val="pl-PL"/>
          </w:rPr>
          <w:t>7</w:t>
        </w:r>
      </w:hyperlink>
    </w:p>
    <w:p w:rsidR="00B81613" w:rsidRPr="00767038" w:rsidRDefault="00C522D7" w:rsidP="00B81613">
      <w:pPr>
        <w:rPr>
          <w:lang w:val="pl-PL"/>
        </w:rPr>
      </w:pPr>
      <w:hyperlink w:anchor="Forth_table" w:history="1">
        <w:r w:rsidR="003B5E76" w:rsidRPr="00767038">
          <w:rPr>
            <w:rStyle w:val="Hipercze"/>
            <w:color w:val="auto"/>
            <w:u w:val="none"/>
            <w:lang w:val="pl-PL"/>
          </w:rPr>
          <w:t>Tabela 4: Struktura budżetu………………………………………………………………………………………………1</w:t>
        </w:r>
      </w:hyperlink>
      <w:r w:rsidR="0030157E">
        <w:rPr>
          <w:rStyle w:val="Hipercze"/>
          <w:color w:val="auto"/>
          <w:u w:val="none"/>
          <w:lang w:val="pl-PL"/>
        </w:rPr>
        <w:t>8</w:t>
      </w:r>
    </w:p>
    <w:p w:rsidR="00B81613" w:rsidRPr="00767038" w:rsidRDefault="00C522D7" w:rsidP="00B81613">
      <w:pPr>
        <w:rPr>
          <w:lang w:val="pl-PL"/>
        </w:rPr>
      </w:pPr>
      <w:hyperlink w:anchor="Fifth_table" w:history="1">
        <w:r w:rsidR="003B5E76" w:rsidRPr="00767038">
          <w:rPr>
            <w:rStyle w:val="Hipercze"/>
            <w:color w:val="auto"/>
            <w:u w:val="none"/>
            <w:lang w:val="pl-PL"/>
          </w:rPr>
          <w:t>Tabela 5: Alokacja kosztów zarządzan</w:t>
        </w:r>
        <w:r w:rsidR="00265F1A" w:rsidRPr="00767038">
          <w:rPr>
            <w:rStyle w:val="Hipercze"/>
            <w:color w:val="auto"/>
            <w:u w:val="none"/>
            <w:lang w:val="pl-PL"/>
          </w:rPr>
          <w:t>ia……………………………………………………………………………</w:t>
        </w:r>
        <w:r w:rsidR="003B5E76" w:rsidRPr="00767038">
          <w:rPr>
            <w:rStyle w:val="Hipercze"/>
            <w:color w:val="auto"/>
            <w:u w:val="none"/>
            <w:lang w:val="pl-PL"/>
          </w:rPr>
          <w:t>3</w:t>
        </w:r>
      </w:hyperlink>
      <w:r w:rsidR="0030157E">
        <w:rPr>
          <w:rStyle w:val="Hipercze"/>
          <w:color w:val="auto"/>
          <w:u w:val="none"/>
          <w:lang w:val="pl-PL"/>
        </w:rPr>
        <w:t>3</w:t>
      </w:r>
    </w:p>
    <w:p w:rsidR="00ED13FE" w:rsidRPr="00767038" w:rsidRDefault="0030157E" w:rsidP="00B81613">
      <w:pPr>
        <w:rPr>
          <w:lang w:val="pl-PL"/>
        </w:rPr>
      </w:pPr>
      <w:hyperlink w:anchor="Sixth_table" w:history="1">
        <w:r w:rsidRPr="00767038">
          <w:rPr>
            <w:rStyle w:val="Hipercze"/>
            <w:color w:val="auto"/>
            <w:u w:val="none"/>
            <w:lang w:val="pl-PL"/>
          </w:rPr>
          <w:t>Tabela 6: Wyliczenie salda środków pieniężnych………………………………………………………………3</w:t>
        </w:r>
        <w:r>
          <w:rPr>
            <w:rStyle w:val="Hipercze"/>
            <w:color w:val="auto"/>
            <w:u w:val="none"/>
            <w:lang w:val="pl-PL"/>
          </w:rPr>
          <w:t>6</w:t>
        </w:r>
      </w:hyperlink>
      <w:r w:rsidR="003B5E76" w:rsidRPr="00767038">
        <w:rPr>
          <w:lang w:val="pl-P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8"/>
        <w:gridCol w:w="7887"/>
      </w:tblGrid>
      <w:tr w:rsidR="00726302" w:rsidRPr="00767038" w:rsidTr="00A71EB5">
        <w:trPr>
          <w:trHeight w:hRule="exact" w:val="397"/>
        </w:trPr>
        <w:tc>
          <w:tcPr>
            <w:tcW w:w="9016" w:type="dxa"/>
            <w:gridSpan w:val="2"/>
            <w:noWrap/>
            <w:hideMark/>
          </w:tcPr>
          <w:p w:rsidR="00ED13FE" w:rsidRPr="00767038" w:rsidRDefault="00ED13FE" w:rsidP="0009153D">
            <w:pPr>
              <w:rPr>
                <w:b/>
                <w:bCs/>
                <w:u w:val="single"/>
                <w:lang w:val="pl-PL"/>
              </w:rPr>
            </w:pPr>
            <w:r w:rsidRPr="00767038">
              <w:rPr>
                <w:b/>
                <w:bCs/>
                <w:u w:val="single"/>
                <w:lang w:val="pl-PL"/>
              </w:rPr>
              <w:lastRenderedPageBreak/>
              <w:t>WYKAZ SKRÓTÓW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IA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Instytucja Audytu</w:t>
            </w: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Pr="0065398F" w:rsidRDefault="00786B7B" w:rsidP="0009153D">
            <w:pPr>
              <w:jc w:val="left"/>
              <w:rPr>
                <w:lang w:val="pl-PL"/>
              </w:rPr>
            </w:pP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Raport roczny z audytu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65398F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 xml:space="preserve">Opinia </w:t>
            </w:r>
            <w:r w:rsidR="0065398F" w:rsidRPr="0065398F">
              <w:rPr>
                <w:lang w:val="pl-PL"/>
              </w:rPr>
              <w:t xml:space="preserve">z </w:t>
            </w:r>
            <w:r w:rsidRPr="0065398F">
              <w:rPr>
                <w:lang w:val="pl-PL"/>
              </w:rPr>
              <w:t>audyt</w:t>
            </w:r>
            <w:r w:rsidR="0065398F" w:rsidRPr="0065398F">
              <w:rPr>
                <w:lang w:val="pl-PL"/>
              </w:rPr>
              <w:t>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IC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Instytucja Certyfikująca</w:t>
            </w:r>
          </w:p>
        </w:tc>
      </w:tr>
      <w:tr w:rsidR="00726302" w:rsidRPr="007F2584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FE15CA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 xml:space="preserve">Partner programu z </w:t>
            </w:r>
            <w:r w:rsidR="00FE15CA" w:rsidRPr="0065398F">
              <w:rPr>
                <w:lang w:val="pl-PL"/>
              </w:rPr>
              <w:t>Państw-D</w:t>
            </w:r>
            <w:r w:rsidRPr="0065398F">
              <w:rPr>
                <w:lang w:val="pl-PL"/>
              </w:rPr>
              <w:t>arczyńc</w:t>
            </w:r>
            <w:r w:rsidR="00FE15CA" w:rsidRPr="0065398F">
              <w:rPr>
                <w:lang w:val="pl-PL"/>
              </w:rPr>
              <w:t>ów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EOG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Europejski Obszar Gospodarczy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UE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Unia Europejska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EUR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Euro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KMF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Komitet Mechanizmów Finansowych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BMF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Biuro Mechanizmów Finansowych</w:t>
            </w:r>
          </w:p>
          <w:p w:rsidR="00A71C12" w:rsidRPr="0065398F" w:rsidRDefault="00A71C12" w:rsidP="0009153D">
            <w:pPr>
              <w:jc w:val="left"/>
              <w:rPr>
                <w:lang w:val="pl-PL"/>
              </w:rPr>
            </w:pPr>
          </w:p>
          <w:p w:rsidR="00A71C12" w:rsidRPr="0065398F" w:rsidRDefault="00A71C12" w:rsidP="0009153D">
            <w:pPr>
              <w:jc w:val="left"/>
              <w:rPr>
                <w:lang w:val="pl-PL"/>
              </w:rPr>
            </w:pPr>
          </w:p>
          <w:p w:rsidR="007A1507" w:rsidRPr="0065398F" w:rsidRDefault="007A1507" w:rsidP="0009153D">
            <w:pPr>
              <w:jc w:val="left"/>
              <w:rPr>
                <w:lang w:val="pl-PL"/>
              </w:rPr>
            </w:pPr>
          </w:p>
          <w:p w:rsidR="007A1507" w:rsidRPr="0065398F" w:rsidRDefault="007A1507" w:rsidP="0009153D">
            <w:pPr>
              <w:jc w:val="left"/>
              <w:rPr>
                <w:lang w:val="pl-PL"/>
              </w:rPr>
            </w:pPr>
          </w:p>
          <w:p w:rsidR="007A1507" w:rsidRPr="0065398F" w:rsidRDefault="007A1507" w:rsidP="0009153D">
            <w:pPr>
              <w:jc w:val="left"/>
              <w:rPr>
                <w:lang w:val="pl-PL"/>
              </w:rPr>
            </w:pPr>
          </w:p>
          <w:p w:rsidR="007A1507" w:rsidRPr="0065398F" w:rsidRDefault="007A1507" w:rsidP="0009153D">
            <w:pPr>
              <w:jc w:val="left"/>
              <w:rPr>
                <w:lang w:val="pl-PL"/>
              </w:rPr>
            </w:pPr>
          </w:p>
          <w:p w:rsidR="007A1507" w:rsidRPr="0065398F" w:rsidRDefault="007A1507" w:rsidP="0009153D">
            <w:pPr>
              <w:jc w:val="left"/>
              <w:rPr>
                <w:lang w:val="pl-PL"/>
              </w:rPr>
            </w:pP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</w:tcPr>
          <w:p w:rsidR="00A71C12" w:rsidRPr="0065398F" w:rsidRDefault="00A71C12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</w:tcPr>
          <w:p w:rsidR="00A71C12" w:rsidRPr="0065398F" w:rsidRDefault="00A71C12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Raport końcowy dla programu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IFAC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Międzynarodowa Federacja Księgowych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FRO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bCs/>
                <w:lang w:val="pl-PL"/>
              </w:rPr>
              <w:t>Finansowy raport okresowy</w:t>
            </w:r>
          </w:p>
          <w:p w:rsidR="007A1507" w:rsidRPr="0065398F" w:rsidRDefault="007A1507" w:rsidP="0009153D">
            <w:pPr>
              <w:jc w:val="left"/>
              <w:rPr>
                <w:lang w:val="pl-PL"/>
              </w:rPr>
            </w:pPr>
          </w:p>
        </w:tc>
      </w:tr>
      <w:tr w:rsidR="00726302" w:rsidRPr="007F2584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INTOSAI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Międzynarodowa Organizacja Najwyższych Organów Kontroli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MOP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Międzynarodowa Organizacja Partnerska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65398F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ISO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Międzynarodowe Standardy Rewizji Finansowej</w:t>
            </w:r>
          </w:p>
        </w:tc>
      </w:tr>
      <w:tr w:rsidR="00726302" w:rsidRPr="007F2584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65398F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ISSAI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Międzynarodowe Standardy Najwyższych Organów Kontroli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65398F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ISRS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Międzynarodowe Standardy Usług Związanych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D9599C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SZK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Systemy zarządzania i kontroli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Protokół ustaleń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KPK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Krajowy Punkt Kontaktowy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NGO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Organizacja pozarządowa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112756" w:rsidP="00112756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N</w:t>
            </w:r>
            <w:r w:rsidR="00ED13FE" w:rsidRPr="0065398F">
              <w:rPr>
                <w:b/>
                <w:bCs/>
                <w:lang w:val="pl-PL"/>
              </w:rPr>
              <w:t>MSZ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Ministerstwo Spraw Zagranicznych Norwegii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112756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PA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6A51CE" w:rsidP="0009153D">
            <w:pPr>
              <w:jc w:val="left"/>
              <w:rPr>
                <w:lang w:val="pl-PL"/>
              </w:rPr>
            </w:pPr>
            <w:r>
              <w:rPr>
                <w:bCs/>
                <w:lang w:val="pl-PL"/>
              </w:rPr>
              <w:t>U</w:t>
            </w:r>
            <w:r w:rsidR="00ED13FE" w:rsidRPr="0065398F">
              <w:rPr>
                <w:bCs/>
                <w:lang w:val="pl-PL"/>
              </w:rPr>
              <w:t>mowa w sprawie programu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65398F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 xml:space="preserve">Projekt </w:t>
            </w:r>
            <w:r w:rsidR="0065398F" w:rsidRPr="0065398F">
              <w:rPr>
                <w:lang w:val="pl-PL"/>
              </w:rPr>
              <w:t>predefiniowany</w:t>
            </w:r>
          </w:p>
        </w:tc>
      </w:tr>
      <w:tr w:rsidR="00726302" w:rsidRPr="007F2584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112756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PIA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bCs/>
                <w:lang w:val="pl-PL"/>
              </w:rPr>
              <w:t>Umowa w sprawie realizacji programu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PLN</w:t>
            </w:r>
          </w:p>
        </w:tc>
        <w:tc>
          <w:tcPr>
            <w:tcW w:w="7887" w:type="dxa"/>
            <w:noWrap/>
            <w:vAlign w:val="center"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Złoty polski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OP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Operator Programu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Beneficjent projektu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6A51CE" w:rsidP="00ED13FE">
            <w:pPr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PT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Pomoc techniczna</w:t>
            </w:r>
          </w:p>
        </w:tc>
      </w:tr>
      <w:tr w:rsidR="00726302" w:rsidRPr="00767038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CPB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Pr="0065398F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Całkowity poziom błędu</w:t>
            </w:r>
          </w:p>
        </w:tc>
      </w:tr>
      <w:tr w:rsidR="00726302" w:rsidRPr="007F2584" w:rsidTr="00A71EB5">
        <w:trPr>
          <w:trHeight w:hRule="exact" w:val="397"/>
        </w:trPr>
        <w:tc>
          <w:tcPr>
            <w:tcW w:w="1129" w:type="dxa"/>
            <w:noWrap/>
            <w:vAlign w:val="center"/>
            <w:hideMark/>
          </w:tcPr>
          <w:p w:rsidR="00ED13FE" w:rsidRPr="0065398F" w:rsidRDefault="00ED13FE" w:rsidP="00ED13FE">
            <w:pPr>
              <w:jc w:val="left"/>
              <w:rPr>
                <w:b/>
                <w:bCs/>
                <w:lang w:val="pl-PL"/>
              </w:rPr>
            </w:pPr>
            <w:r w:rsidRPr="0065398F">
              <w:rPr>
                <w:b/>
                <w:bCs/>
                <w:lang w:val="pl-PL"/>
              </w:rPr>
              <w:t>VAT</w:t>
            </w:r>
          </w:p>
        </w:tc>
        <w:tc>
          <w:tcPr>
            <w:tcW w:w="7887" w:type="dxa"/>
            <w:noWrap/>
            <w:vAlign w:val="center"/>
            <w:hideMark/>
          </w:tcPr>
          <w:p w:rsidR="00ED13FE" w:rsidRDefault="00ED13FE" w:rsidP="0009153D">
            <w:pPr>
              <w:jc w:val="left"/>
              <w:rPr>
                <w:lang w:val="pl-PL"/>
              </w:rPr>
            </w:pPr>
            <w:r w:rsidRPr="0065398F">
              <w:rPr>
                <w:lang w:val="pl-PL"/>
              </w:rPr>
              <w:t>Podatek od towarów i usług</w:t>
            </w: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Default="00786B7B" w:rsidP="0009153D">
            <w:pPr>
              <w:jc w:val="left"/>
              <w:rPr>
                <w:lang w:val="pl-PL"/>
              </w:rPr>
            </w:pPr>
          </w:p>
          <w:p w:rsidR="00786B7B" w:rsidRPr="0065398F" w:rsidRDefault="00786B7B" w:rsidP="0009153D">
            <w:pPr>
              <w:jc w:val="left"/>
              <w:rPr>
                <w:lang w:val="pl-PL"/>
              </w:rPr>
            </w:pPr>
          </w:p>
        </w:tc>
      </w:tr>
    </w:tbl>
    <w:p w:rsidR="001B5E3B" w:rsidRPr="00767038" w:rsidRDefault="001B5E3B">
      <w:pPr>
        <w:spacing w:before="0" w:after="160"/>
        <w:jc w:val="left"/>
        <w:rPr>
          <w:lang w:val="pl-PL"/>
        </w:rPr>
      </w:pPr>
    </w:p>
    <w:p w:rsidR="001B5E3B" w:rsidRPr="00767038" w:rsidRDefault="001B5E3B">
      <w:pPr>
        <w:spacing w:before="0" w:after="160"/>
        <w:jc w:val="left"/>
        <w:rPr>
          <w:lang w:val="pl-PL"/>
        </w:rPr>
      </w:pPr>
      <w:r w:rsidRPr="00767038">
        <w:rPr>
          <w:lang w:val="pl-PL"/>
        </w:rPr>
        <w:br w:type="page"/>
      </w:r>
    </w:p>
    <w:p w:rsidR="001B5E3B" w:rsidRPr="00767038" w:rsidRDefault="004176FC" w:rsidP="001B5E3B">
      <w:pPr>
        <w:pStyle w:val="Nagwek1"/>
        <w:rPr>
          <w:lang w:val="pl-PL"/>
        </w:rPr>
      </w:pPr>
      <w:bookmarkStart w:id="1" w:name="_Toc505238500"/>
      <w:r w:rsidRPr="00767038">
        <w:rPr>
          <w:bCs/>
          <w:lang w:val="pl-PL"/>
        </w:rPr>
        <w:lastRenderedPageBreak/>
        <w:t>Wprowadzenie</w:t>
      </w:r>
      <w:bookmarkEnd w:id="1"/>
    </w:p>
    <w:p w:rsidR="002C3451" w:rsidRPr="00767038" w:rsidRDefault="002C3451" w:rsidP="002C3451">
      <w:pPr>
        <w:rPr>
          <w:lang w:val="pl-PL"/>
        </w:rPr>
      </w:pPr>
      <w:r w:rsidRPr="00767038">
        <w:rPr>
          <w:lang w:val="pl-PL"/>
        </w:rPr>
        <w:t xml:space="preserve">Niniejsze wytyczne zostały opracowane przez Biuro Mechanizmów Finansowych (BMF) i są przeznaczone dla władz krajowych, operatorów programów, beneficjentów projektów i partnerów projektów. Służą wyłącznie do celów informacyjnych i nie są częścią ram prawnych Mechanizmów Finansowych, ani nie mają zastępować </w:t>
      </w:r>
      <w:r w:rsidR="00AB6135" w:rsidRPr="00767038">
        <w:rPr>
          <w:lang w:val="pl-PL"/>
        </w:rPr>
        <w:t>weryfikacji</w:t>
      </w:r>
      <w:r w:rsidRPr="00767038">
        <w:rPr>
          <w:lang w:val="pl-PL"/>
        </w:rPr>
        <w:t xml:space="preserve"> z ramami prawnymi, jeżeli jest to odpowiednie. Ani KMF, </w:t>
      </w:r>
      <w:r w:rsidR="00E0168A" w:rsidRPr="00767038">
        <w:rPr>
          <w:lang w:val="pl-PL"/>
        </w:rPr>
        <w:t>N</w:t>
      </w:r>
      <w:r w:rsidRPr="00767038">
        <w:rPr>
          <w:lang w:val="pl-PL"/>
        </w:rPr>
        <w:t>MSZ, Biuro Mechanizmów Finansowych, ani osoby działające w ich imieniu nie ponoszą odpowiedzialności za korzystanie z niniejszych wytycznych.</w:t>
      </w:r>
    </w:p>
    <w:p w:rsidR="00B11869" w:rsidRPr="00767038" w:rsidRDefault="002C3451" w:rsidP="00951100">
      <w:pPr>
        <w:rPr>
          <w:lang w:val="pl-PL"/>
        </w:rPr>
      </w:pPr>
      <w:r w:rsidRPr="00767038">
        <w:rPr>
          <w:lang w:val="pl-PL"/>
        </w:rPr>
        <w:t xml:space="preserve">W wymiarze prawnym wprowadzono odwołanie do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w sprawie wdrażania Mechanizmu Finansowego Europejskiego Obszaru Gospodarczego (EOG) i Norweskiego Mechanizmu Finansowego 2014-2021 (zwanych dalej </w:t>
      </w:r>
      <w:r w:rsidR="005A62D3" w:rsidRPr="00767038">
        <w:rPr>
          <w:lang w:val="pl-PL"/>
        </w:rPr>
        <w:t>Regulacjami</w:t>
      </w:r>
      <w:r w:rsidRPr="00767038">
        <w:rPr>
          <w:lang w:val="pl-PL"/>
        </w:rPr>
        <w:t>). Niniejszy dokument podlega aktualizacji w celu odzwierciedlenia zmian w ramach prawnych. W przypadku niespójności mają zastosowanie postanowienia ram prawnych.</w:t>
      </w:r>
    </w:p>
    <w:p w:rsidR="00B11869" w:rsidRPr="00767038" w:rsidRDefault="00B11869" w:rsidP="00951100">
      <w:pPr>
        <w:rPr>
          <w:lang w:val="pl-PL"/>
        </w:rPr>
      </w:pPr>
    </w:p>
    <w:p w:rsidR="0059142C" w:rsidRPr="00767038" w:rsidRDefault="00EA0104" w:rsidP="00177429">
      <w:pPr>
        <w:pStyle w:val="Nagwek1"/>
        <w:rPr>
          <w:lang w:val="pl-PL"/>
        </w:rPr>
      </w:pPr>
      <w:bookmarkStart w:id="2" w:name="_Ref462302191"/>
      <w:bookmarkStart w:id="3" w:name="_Ref462300546"/>
      <w:bookmarkStart w:id="4" w:name="_Ref462300501"/>
      <w:bookmarkStart w:id="5" w:name="_Ref462300108"/>
      <w:bookmarkStart w:id="6" w:name="_Toc505238501"/>
      <w:r w:rsidRPr="00767038">
        <w:rPr>
          <w:bCs/>
          <w:lang w:val="pl-PL"/>
        </w:rPr>
        <w:t>Faza przygotowania/planowania</w:t>
      </w:r>
      <w:bookmarkEnd w:id="2"/>
      <w:bookmarkEnd w:id="3"/>
      <w:bookmarkEnd w:id="4"/>
      <w:bookmarkEnd w:id="5"/>
      <w:bookmarkEnd w:id="6"/>
    </w:p>
    <w:p w:rsidR="00EA0104" w:rsidRPr="00767038" w:rsidRDefault="00EA0104" w:rsidP="00A0039A">
      <w:pPr>
        <w:pStyle w:val="Nagwek2"/>
        <w:rPr>
          <w:lang w:val="pl-PL"/>
        </w:rPr>
      </w:pPr>
      <w:bookmarkStart w:id="7" w:name="_Ref462300548"/>
      <w:bookmarkStart w:id="8" w:name="_Toc505238502"/>
      <w:r w:rsidRPr="00767038">
        <w:rPr>
          <w:iCs/>
          <w:lang w:val="pl-PL"/>
        </w:rPr>
        <w:t xml:space="preserve">Informacje niezbędne przed zawarciem </w:t>
      </w:r>
      <w:r w:rsidR="005A62D3" w:rsidRPr="00767038">
        <w:rPr>
          <w:iCs/>
          <w:lang w:val="pl-PL"/>
        </w:rPr>
        <w:t>U</w:t>
      </w:r>
      <w:r w:rsidRPr="00767038">
        <w:rPr>
          <w:iCs/>
          <w:lang w:val="pl-PL"/>
        </w:rPr>
        <w:t>mowy w sprawie programu</w:t>
      </w:r>
      <w:bookmarkEnd w:id="7"/>
      <w:bookmarkEnd w:id="8"/>
    </w:p>
    <w:p w:rsidR="00681CEA" w:rsidRPr="00767038" w:rsidRDefault="00681CEA" w:rsidP="00376576">
      <w:pPr>
        <w:rPr>
          <w:lang w:val="pl-PL"/>
        </w:rPr>
      </w:pPr>
      <w:r w:rsidRPr="00767038">
        <w:rPr>
          <w:lang w:val="pl-PL"/>
        </w:rPr>
        <w:t xml:space="preserve">Programy, które będą realizowane w odpowiednich </w:t>
      </w:r>
      <w:r w:rsidR="005A62D3" w:rsidRPr="00767038">
        <w:rPr>
          <w:lang w:val="pl-PL"/>
        </w:rPr>
        <w:t>P</w:t>
      </w:r>
      <w:r w:rsidRPr="00767038">
        <w:rPr>
          <w:lang w:val="pl-PL"/>
        </w:rPr>
        <w:t xml:space="preserve">aństwach </w:t>
      </w:r>
      <w:r w:rsidR="005A62D3" w:rsidRPr="00767038">
        <w:rPr>
          <w:lang w:val="pl-PL"/>
        </w:rPr>
        <w:t>B</w:t>
      </w:r>
      <w:r w:rsidRPr="00767038">
        <w:rPr>
          <w:lang w:val="pl-PL"/>
        </w:rPr>
        <w:t>eneficjenta</w:t>
      </w:r>
      <w:r w:rsidR="005A62D3" w:rsidRPr="00767038">
        <w:rPr>
          <w:lang w:val="pl-PL"/>
        </w:rPr>
        <w:t>ch</w:t>
      </w:r>
      <w:r w:rsidRPr="00767038">
        <w:rPr>
          <w:lang w:val="pl-PL"/>
        </w:rPr>
        <w:t xml:space="preserve">, uzgadnia się w oddzielnym </w:t>
      </w:r>
      <w:r w:rsidR="005A62D3" w:rsidRPr="00767038">
        <w:rPr>
          <w:lang w:val="pl-PL"/>
        </w:rPr>
        <w:t xml:space="preserve">Memorandum of </w:t>
      </w:r>
      <w:proofErr w:type="spellStart"/>
      <w:r w:rsidR="005A62D3" w:rsidRPr="00767038">
        <w:rPr>
          <w:lang w:val="pl-PL"/>
        </w:rPr>
        <w:t>Understanding</w:t>
      </w:r>
      <w:proofErr w:type="spellEnd"/>
      <w:r w:rsidR="005A62D3" w:rsidRPr="00767038">
        <w:rPr>
          <w:lang w:val="pl-PL"/>
        </w:rPr>
        <w:t xml:space="preserve"> (</w:t>
      </w:r>
      <w:proofErr w:type="spellStart"/>
      <w:r w:rsidR="005A62D3" w:rsidRPr="00767038">
        <w:rPr>
          <w:lang w:val="pl-PL"/>
        </w:rPr>
        <w:t>MoU</w:t>
      </w:r>
      <w:proofErr w:type="spellEnd"/>
      <w:r w:rsidR="005A62D3" w:rsidRPr="00767038">
        <w:rPr>
          <w:lang w:val="pl-PL"/>
        </w:rPr>
        <w:t>)</w:t>
      </w:r>
      <w:r w:rsidRPr="00767038">
        <w:rPr>
          <w:lang w:val="pl-PL"/>
        </w:rPr>
        <w:t xml:space="preserve"> wraz z odpowiednią alokacją i wymaganym </w:t>
      </w:r>
      <w:r w:rsidR="005A62D3" w:rsidRPr="00767038">
        <w:rPr>
          <w:lang w:val="pl-PL"/>
        </w:rPr>
        <w:t>współfinansowaniem</w:t>
      </w:r>
      <w:r w:rsidRPr="00767038">
        <w:rPr>
          <w:lang w:val="pl-PL"/>
        </w:rPr>
        <w:t xml:space="preserve">. </w:t>
      </w:r>
    </w:p>
    <w:p w:rsidR="00681CEA" w:rsidRPr="00767038" w:rsidRDefault="00DE594B" w:rsidP="00376576">
      <w:pPr>
        <w:rPr>
          <w:lang w:val="pl-PL"/>
        </w:rPr>
      </w:pPr>
      <w:r w:rsidRPr="00767038">
        <w:rPr>
          <w:lang w:val="pl-PL"/>
        </w:rPr>
        <w:t xml:space="preserve">Każdy z Operatorów Programów (OP) będzie zobowiązany do przedłożenia w BMF </w:t>
      </w:r>
      <w:r w:rsidR="005A62D3" w:rsidRPr="00767038">
        <w:rPr>
          <w:lang w:val="pl-PL"/>
        </w:rPr>
        <w:t>K</w:t>
      </w:r>
      <w:r w:rsidRPr="00767038">
        <w:rPr>
          <w:lang w:val="pl-PL"/>
        </w:rPr>
        <w:t xml:space="preserve">oncepcji </w:t>
      </w:r>
      <w:r w:rsidR="005A62D3" w:rsidRPr="00767038">
        <w:rPr>
          <w:lang w:val="pl-PL"/>
        </w:rPr>
        <w:t xml:space="preserve">programu </w:t>
      </w:r>
      <w:r w:rsidRPr="00767038">
        <w:rPr>
          <w:lang w:val="pl-PL"/>
        </w:rPr>
        <w:t xml:space="preserve">dla każdego programu (art. 6.2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). Wzór </w:t>
      </w:r>
      <w:r w:rsidR="005A62D3" w:rsidRPr="00767038">
        <w:rPr>
          <w:lang w:val="pl-PL"/>
        </w:rPr>
        <w:t>K</w:t>
      </w:r>
      <w:r w:rsidRPr="00767038">
        <w:rPr>
          <w:lang w:val="pl-PL"/>
        </w:rPr>
        <w:t xml:space="preserve">oncepcji programu określa załącznik 5 do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. W </w:t>
      </w:r>
      <w:r w:rsidR="005A62D3" w:rsidRPr="00767038">
        <w:rPr>
          <w:lang w:val="pl-PL"/>
        </w:rPr>
        <w:t>K</w:t>
      </w:r>
      <w:r w:rsidRPr="00767038">
        <w:rPr>
          <w:lang w:val="pl-PL"/>
        </w:rPr>
        <w:t>oncepcji programu należy przedstawić zagregowany budżet według poniższego wzoru:</w:t>
      </w:r>
    </w:p>
    <w:p w:rsidR="0049030C" w:rsidRPr="00767038" w:rsidRDefault="00A35E94" w:rsidP="0049030C">
      <w:pPr>
        <w:pStyle w:val="Legenda"/>
        <w:rPr>
          <w:lang w:val="pl-PL"/>
        </w:rPr>
      </w:pPr>
      <w:bookmarkStart w:id="9" w:name="_Ref462297798"/>
      <w:bookmarkStart w:id="10" w:name="_Toc486413512"/>
      <w:bookmarkStart w:id="11" w:name="_Toc467246318"/>
      <w:bookmarkStart w:id="12" w:name="First_table"/>
      <w:r w:rsidRPr="00767038">
        <w:rPr>
          <w:iCs/>
          <w:lang w:val="pl-PL"/>
        </w:rPr>
        <w:t>Tabela</w:t>
      </w:r>
      <w:r>
        <w:rPr>
          <w:iCs/>
          <w:lang w:val="pl-PL"/>
        </w:rPr>
        <w:t xml:space="preserve"> </w:t>
      </w:r>
      <w:r w:rsidRPr="00767038">
        <w:rPr>
          <w:lang w:val="pl-PL"/>
        </w:rPr>
        <w:fldChar w:fldCharType="begin"/>
      </w:r>
      <w:r w:rsidRPr="00767038">
        <w:rPr>
          <w:lang w:val="pl-PL"/>
        </w:rPr>
        <w:instrText xml:space="preserve"> SEQ Table \* ARABIC </w:instrText>
      </w:r>
      <w:r w:rsidRPr="00767038">
        <w:rPr>
          <w:lang w:val="pl-PL"/>
        </w:rPr>
        <w:fldChar w:fldCharType="separate"/>
      </w:r>
      <w:r w:rsidRPr="00767038">
        <w:rPr>
          <w:noProof/>
          <w:lang w:val="pl-PL"/>
        </w:rPr>
        <w:t>1</w:t>
      </w:r>
      <w:r w:rsidRPr="00767038">
        <w:rPr>
          <w:iCs/>
          <w:noProof/>
          <w:lang w:val="pl-PL"/>
        </w:rPr>
        <w:fldChar w:fldCharType="end"/>
      </w:r>
      <w:bookmarkEnd w:id="9"/>
      <w:r w:rsidR="0049030C" w:rsidRPr="00767038">
        <w:rPr>
          <w:iCs/>
          <w:lang w:val="pl-PL"/>
        </w:rPr>
        <w:t>: Budżet</w:t>
      </w:r>
      <w:bookmarkEnd w:id="10"/>
      <w:bookmarkEnd w:id="11"/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561"/>
        <w:gridCol w:w="1271"/>
        <w:gridCol w:w="1413"/>
        <w:gridCol w:w="1412"/>
        <w:gridCol w:w="1413"/>
        <w:gridCol w:w="1412"/>
        <w:gridCol w:w="1626"/>
      </w:tblGrid>
      <w:tr w:rsidR="002C2FF7" w:rsidRPr="00767038" w:rsidTr="00AB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561" w:type="dxa"/>
            <w:vAlign w:val="center"/>
            <w:hideMark/>
          </w:tcPr>
          <w:bookmarkEnd w:id="12"/>
          <w:p w:rsidR="00026095" w:rsidRPr="00767038" w:rsidRDefault="00191248" w:rsidP="00767038">
            <w:pPr>
              <w:spacing w:line="276" w:lineRule="auto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>Umowy w sprawie programu</w:t>
            </w:r>
          </w:p>
        </w:tc>
        <w:tc>
          <w:tcPr>
            <w:tcW w:w="1271" w:type="dxa"/>
            <w:vAlign w:val="center"/>
            <w:hideMark/>
          </w:tcPr>
          <w:p w:rsidR="00026095" w:rsidRPr="00767038" w:rsidRDefault="005A62D3" w:rsidP="005A62D3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 xml:space="preserve">Linia </w:t>
            </w:r>
            <w:r w:rsidR="00026095" w:rsidRPr="00767038">
              <w:rPr>
                <w:bCs/>
                <w:sz w:val="16"/>
                <w:lang w:val="pl-PL"/>
              </w:rPr>
              <w:t>budżet</w:t>
            </w:r>
            <w:r w:rsidRPr="00767038">
              <w:rPr>
                <w:bCs/>
                <w:sz w:val="16"/>
                <w:lang w:val="pl-PL"/>
              </w:rPr>
              <w:t>owa</w:t>
            </w:r>
          </w:p>
        </w:tc>
        <w:tc>
          <w:tcPr>
            <w:tcW w:w="1413" w:type="dxa"/>
            <w:vAlign w:val="center"/>
            <w:hideMark/>
          </w:tcPr>
          <w:p w:rsidR="00026095" w:rsidRPr="00767038" w:rsidRDefault="0026324B" w:rsidP="00A1226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 xml:space="preserve">Dofinansowanie z </w:t>
            </w:r>
            <w:r w:rsidR="00026095" w:rsidRPr="00767038">
              <w:rPr>
                <w:bCs/>
                <w:sz w:val="16"/>
                <w:lang w:val="pl-PL"/>
              </w:rPr>
              <w:t>EOG</w:t>
            </w:r>
          </w:p>
        </w:tc>
        <w:tc>
          <w:tcPr>
            <w:tcW w:w="1412" w:type="dxa"/>
            <w:vAlign w:val="center"/>
            <w:hideMark/>
          </w:tcPr>
          <w:p w:rsidR="00026095" w:rsidRPr="00767038" w:rsidRDefault="0026324B" w:rsidP="00A1226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>Dofinansowanie z Norweskiego MF</w:t>
            </w:r>
          </w:p>
        </w:tc>
        <w:tc>
          <w:tcPr>
            <w:tcW w:w="1413" w:type="dxa"/>
            <w:vAlign w:val="center"/>
            <w:hideMark/>
          </w:tcPr>
          <w:p w:rsidR="00026095" w:rsidRPr="00767038" w:rsidRDefault="00026095" w:rsidP="00A1226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>Całkowite dofinansowanie</w:t>
            </w:r>
          </w:p>
        </w:tc>
        <w:tc>
          <w:tcPr>
            <w:tcW w:w="1412" w:type="dxa"/>
            <w:vAlign w:val="center"/>
            <w:hideMark/>
          </w:tcPr>
          <w:p w:rsidR="00026095" w:rsidRPr="00767038" w:rsidRDefault="00026095" w:rsidP="00A1226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>Poziom dofinansowania programu</w:t>
            </w:r>
          </w:p>
        </w:tc>
        <w:tc>
          <w:tcPr>
            <w:tcW w:w="1626" w:type="dxa"/>
            <w:noWrap/>
            <w:vAlign w:val="center"/>
            <w:hideMark/>
          </w:tcPr>
          <w:p w:rsidR="00026095" w:rsidRPr="00767038" w:rsidRDefault="00655317" w:rsidP="00A1226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767038">
              <w:rPr>
                <w:bCs/>
                <w:sz w:val="16"/>
                <w:lang w:val="pl-PL"/>
              </w:rPr>
              <w:t>Wydatki kwalifikowalne programu</w:t>
            </w:r>
          </w:p>
        </w:tc>
      </w:tr>
      <w:tr w:rsidR="002C2FF7" w:rsidRPr="00767038" w:rsidTr="00AB6135">
        <w:trPr>
          <w:trHeight w:val="510"/>
        </w:trPr>
        <w:tc>
          <w:tcPr>
            <w:tcW w:w="56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PM</w:t>
            </w:r>
          </w:p>
        </w:tc>
        <w:tc>
          <w:tcPr>
            <w:tcW w:w="127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Zarządzanie programem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100.000 euro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100.000 euro</w:t>
            </w:r>
          </w:p>
        </w:tc>
        <w:tc>
          <w:tcPr>
            <w:tcW w:w="1413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200.000 euro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85,00%</w:t>
            </w:r>
          </w:p>
        </w:tc>
        <w:tc>
          <w:tcPr>
            <w:tcW w:w="1626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235.294 euro</w:t>
            </w:r>
          </w:p>
        </w:tc>
      </w:tr>
      <w:tr w:rsidR="002C2FF7" w:rsidRPr="00767038" w:rsidTr="00AB6135">
        <w:trPr>
          <w:trHeight w:val="445"/>
        </w:trPr>
        <w:tc>
          <w:tcPr>
            <w:tcW w:w="56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PA2</w:t>
            </w:r>
          </w:p>
        </w:tc>
        <w:tc>
          <w:tcPr>
            <w:tcW w:w="127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Wynik 1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900.000 euro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0 euro</w:t>
            </w:r>
          </w:p>
        </w:tc>
        <w:tc>
          <w:tcPr>
            <w:tcW w:w="1413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900.000 euro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85,00%</w:t>
            </w:r>
          </w:p>
        </w:tc>
        <w:tc>
          <w:tcPr>
            <w:tcW w:w="1626" w:type="dxa"/>
            <w:vAlign w:val="center"/>
          </w:tcPr>
          <w:p w:rsidR="00026095" w:rsidRPr="00767038" w:rsidRDefault="00E256D3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1.058.824 euro</w:t>
            </w:r>
          </w:p>
        </w:tc>
      </w:tr>
      <w:tr w:rsidR="002C2FF7" w:rsidRPr="00767038" w:rsidTr="00AB6135">
        <w:trPr>
          <w:trHeight w:val="423"/>
        </w:trPr>
        <w:tc>
          <w:tcPr>
            <w:tcW w:w="56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PA4</w:t>
            </w:r>
          </w:p>
        </w:tc>
        <w:tc>
          <w:tcPr>
            <w:tcW w:w="127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Wynik 2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026095" w:rsidRPr="00767038" w:rsidRDefault="004511A6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0 euro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900.000 euro</w:t>
            </w:r>
          </w:p>
        </w:tc>
        <w:tc>
          <w:tcPr>
            <w:tcW w:w="1413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900.000 euro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85,00%</w:t>
            </w:r>
          </w:p>
        </w:tc>
        <w:tc>
          <w:tcPr>
            <w:tcW w:w="1626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color w:val="000000"/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1.058.824 euro</w:t>
            </w:r>
          </w:p>
        </w:tc>
      </w:tr>
      <w:tr w:rsidR="00026095" w:rsidRPr="00767038" w:rsidTr="00AB6135">
        <w:trPr>
          <w:trHeight w:val="414"/>
        </w:trPr>
        <w:tc>
          <w:tcPr>
            <w:tcW w:w="561" w:type="dxa"/>
            <w:noWrap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b/>
                <w:color w:val="000000"/>
                <w:sz w:val="16"/>
                <w:lang w:val="pl-PL"/>
              </w:rPr>
            </w:pPr>
          </w:p>
        </w:tc>
        <w:tc>
          <w:tcPr>
            <w:tcW w:w="1271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left"/>
              <w:rPr>
                <w:b/>
                <w:color w:val="000000"/>
                <w:sz w:val="16"/>
                <w:lang w:val="pl-PL"/>
              </w:rPr>
            </w:pPr>
            <w:r w:rsidRPr="00767038">
              <w:rPr>
                <w:b/>
                <w:bCs/>
                <w:color w:val="000000"/>
                <w:sz w:val="16"/>
                <w:lang w:val="pl-PL"/>
              </w:rPr>
              <w:t>Razem</w:t>
            </w:r>
          </w:p>
        </w:tc>
        <w:tc>
          <w:tcPr>
            <w:tcW w:w="1413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right"/>
              <w:rPr>
                <w:b/>
                <w:color w:val="000000"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1.000.000 euro</w:t>
            </w:r>
          </w:p>
        </w:tc>
        <w:tc>
          <w:tcPr>
            <w:tcW w:w="1412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b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1.000.000 euro</w:t>
            </w:r>
          </w:p>
        </w:tc>
        <w:tc>
          <w:tcPr>
            <w:tcW w:w="1413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b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2.000.000 euro</w:t>
            </w:r>
          </w:p>
        </w:tc>
        <w:tc>
          <w:tcPr>
            <w:tcW w:w="1412" w:type="dxa"/>
            <w:vAlign w:val="center"/>
            <w:hideMark/>
          </w:tcPr>
          <w:p w:rsidR="00026095" w:rsidRPr="00767038" w:rsidRDefault="00026095" w:rsidP="00DE5CA1">
            <w:pPr>
              <w:spacing w:before="0" w:after="0" w:line="276" w:lineRule="auto"/>
              <w:jc w:val="right"/>
              <w:rPr>
                <w:b/>
                <w:color w:val="000000"/>
                <w:sz w:val="16"/>
                <w:lang w:val="pl-PL"/>
              </w:rPr>
            </w:pPr>
            <w:r w:rsidRPr="00767038">
              <w:rPr>
                <w:b/>
                <w:bCs/>
                <w:color w:val="000000"/>
                <w:sz w:val="16"/>
                <w:lang w:val="pl-PL"/>
              </w:rPr>
              <w:t>85,00%</w:t>
            </w:r>
          </w:p>
        </w:tc>
        <w:tc>
          <w:tcPr>
            <w:tcW w:w="1626" w:type="dxa"/>
            <w:vAlign w:val="center"/>
          </w:tcPr>
          <w:p w:rsidR="00026095" w:rsidRPr="00767038" w:rsidRDefault="003D4B01" w:rsidP="00DE5CA1">
            <w:pPr>
              <w:spacing w:before="0" w:after="0" w:line="276" w:lineRule="auto"/>
              <w:jc w:val="right"/>
              <w:rPr>
                <w:b/>
                <w:color w:val="000000"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2.352.942 euro</w:t>
            </w:r>
          </w:p>
        </w:tc>
      </w:tr>
    </w:tbl>
    <w:p w:rsidR="00181D99" w:rsidRPr="00767038" w:rsidRDefault="00181D99" w:rsidP="00376576">
      <w:pPr>
        <w:rPr>
          <w:lang w:val="pl-PL"/>
        </w:rPr>
      </w:pPr>
      <w:r w:rsidRPr="00767038">
        <w:rPr>
          <w:lang w:val="pl-PL"/>
        </w:rPr>
        <w:t xml:space="preserve">Ponieważ program może być finansowany zarówno z Mechanizmu Finansowego EOG, jak i Norweskiego Mechanizmu Finansowego zgodnie z postanowieniami </w:t>
      </w:r>
      <w:r w:rsidR="0026324B" w:rsidRPr="00767038">
        <w:rPr>
          <w:lang w:val="pl-PL"/>
        </w:rPr>
        <w:t xml:space="preserve">Memorandum of </w:t>
      </w:r>
      <w:proofErr w:type="spellStart"/>
      <w:r w:rsidR="0026324B" w:rsidRPr="00767038">
        <w:rPr>
          <w:lang w:val="pl-PL"/>
        </w:rPr>
        <w:t>Understanding</w:t>
      </w:r>
      <w:proofErr w:type="spellEnd"/>
      <w:r w:rsidRPr="00767038">
        <w:rPr>
          <w:lang w:val="pl-PL"/>
        </w:rPr>
        <w:t xml:space="preserve">, należy wskazać, które </w:t>
      </w:r>
      <w:r w:rsidR="0026324B" w:rsidRPr="00767038">
        <w:rPr>
          <w:lang w:val="pl-PL"/>
        </w:rPr>
        <w:t xml:space="preserve">linie </w:t>
      </w:r>
      <w:r w:rsidRPr="00767038">
        <w:rPr>
          <w:lang w:val="pl-PL"/>
        </w:rPr>
        <w:t>budżet</w:t>
      </w:r>
      <w:r w:rsidR="0026324B" w:rsidRPr="00767038">
        <w:rPr>
          <w:lang w:val="pl-PL"/>
        </w:rPr>
        <w:t>owe</w:t>
      </w:r>
      <w:r w:rsidRPr="00767038">
        <w:rPr>
          <w:lang w:val="pl-PL"/>
        </w:rPr>
        <w:t xml:space="preserve"> finansuje się z odpowiedniego Mechanizmu Finansowego. Dla każdej </w:t>
      </w:r>
      <w:r w:rsidR="0026324B" w:rsidRPr="00767038">
        <w:rPr>
          <w:lang w:val="pl-PL"/>
        </w:rPr>
        <w:t xml:space="preserve">linii </w:t>
      </w:r>
      <w:r w:rsidRPr="00767038">
        <w:rPr>
          <w:lang w:val="pl-PL"/>
        </w:rPr>
        <w:t>budżet</w:t>
      </w:r>
      <w:r w:rsidR="0026324B" w:rsidRPr="00767038">
        <w:rPr>
          <w:lang w:val="pl-PL"/>
        </w:rPr>
        <w:t>owej</w:t>
      </w:r>
      <w:r w:rsidRPr="00767038">
        <w:rPr>
          <w:lang w:val="pl-PL"/>
        </w:rPr>
        <w:t xml:space="preserve"> należy także określić poziom </w:t>
      </w:r>
      <w:r w:rsidRPr="00767038">
        <w:rPr>
          <w:lang w:val="pl-PL"/>
        </w:rPr>
        <w:lastRenderedPageBreak/>
        <w:t xml:space="preserve">dofinansowania programu, zachowując zobowiązania w zakresie </w:t>
      </w:r>
      <w:r w:rsidR="0026324B" w:rsidRPr="00767038">
        <w:rPr>
          <w:lang w:val="pl-PL"/>
        </w:rPr>
        <w:t>współfinansowania</w:t>
      </w:r>
      <w:r w:rsidRPr="00767038">
        <w:rPr>
          <w:lang w:val="pl-PL"/>
        </w:rPr>
        <w:t xml:space="preserve"> określone w </w:t>
      </w:r>
      <w:r w:rsidR="0026324B" w:rsidRPr="00767038">
        <w:rPr>
          <w:lang w:val="pl-PL"/>
        </w:rPr>
        <w:t xml:space="preserve">Memorandum of </w:t>
      </w:r>
      <w:proofErr w:type="spellStart"/>
      <w:r w:rsidR="0026324B" w:rsidRPr="00767038">
        <w:rPr>
          <w:lang w:val="pl-PL"/>
        </w:rPr>
        <w:t>Understanding</w:t>
      </w:r>
      <w:proofErr w:type="spellEnd"/>
      <w:r w:rsidRPr="00767038">
        <w:rPr>
          <w:lang w:val="pl-PL"/>
        </w:rPr>
        <w:t xml:space="preserve">. Maksymalny poziom </w:t>
      </w:r>
      <w:r w:rsidR="007F6B23">
        <w:rPr>
          <w:lang w:val="pl-PL"/>
        </w:rPr>
        <w:t>dofinansowania</w:t>
      </w:r>
      <w:r w:rsidR="007F6B23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programu wynosi 85% (art. 6.4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).</w:t>
      </w:r>
      <w:r w:rsidRPr="00767038">
        <w:rPr>
          <w:rStyle w:val="Odwoanieprzypisudolnego"/>
          <w:lang w:val="pl-PL"/>
        </w:rPr>
        <w:footnoteReference w:id="2"/>
      </w:r>
    </w:p>
    <w:p w:rsidR="00681CEA" w:rsidRPr="00767038" w:rsidRDefault="00681CEA" w:rsidP="00376576">
      <w:pPr>
        <w:rPr>
          <w:lang w:val="pl-PL"/>
        </w:rPr>
      </w:pPr>
      <w:r w:rsidRPr="00767038">
        <w:rPr>
          <w:lang w:val="pl-PL"/>
        </w:rPr>
        <w:t xml:space="preserve">Na podstawie przedłożonej </w:t>
      </w:r>
      <w:r w:rsidR="0026324B" w:rsidRPr="00767038">
        <w:rPr>
          <w:lang w:val="pl-PL"/>
        </w:rPr>
        <w:t>K</w:t>
      </w:r>
      <w:r w:rsidRPr="00767038">
        <w:rPr>
          <w:lang w:val="pl-PL"/>
        </w:rPr>
        <w:t>oncepcji programu i uwag KMF/</w:t>
      </w:r>
      <w:r w:rsidR="0026324B" w:rsidRPr="00767038">
        <w:rPr>
          <w:lang w:val="pl-PL"/>
        </w:rPr>
        <w:t>N</w:t>
      </w:r>
      <w:r w:rsidRPr="00767038">
        <w:rPr>
          <w:lang w:val="pl-PL"/>
        </w:rPr>
        <w:t>MSZ</w:t>
      </w:r>
      <w:r w:rsidR="0026324B" w:rsidRPr="00767038">
        <w:rPr>
          <w:lang w:val="pl-PL"/>
        </w:rPr>
        <w:t>,</w:t>
      </w:r>
      <w:r w:rsidRPr="00767038">
        <w:rPr>
          <w:lang w:val="pl-PL"/>
        </w:rPr>
        <w:t xml:space="preserve"> BMF przygotuje projekt </w:t>
      </w:r>
      <w:r w:rsidR="0026324B" w:rsidRPr="00767038">
        <w:rPr>
          <w:lang w:val="pl-PL"/>
        </w:rPr>
        <w:t>U</w:t>
      </w:r>
      <w:r w:rsidRPr="00767038">
        <w:rPr>
          <w:lang w:val="pl-PL"/>
        </w:rPr>
        <w:t>mowy w sprawie programu (</w:t>
      </w:r>
      <w:r w:rsidR="0026324B" w:rsidRPr="00767038">
        <w:rPr>
          <w:lang w:val="pl-PL"/>
        </w:rPr>
        <w:t>PA</w:t>
      </w:r>
      <w:r w:rsidRPr="00767038">
        <w:rPr>
          <w:lang w:val="pl-PL"/>
        </w:rPr>
        <w:t xml:space="preserve">) po zasięgnięciu opinii KPK/OP. Na tym etapie OP będą zobowiązani do dostarczenia dodatkowych informacji zgodnie ze wzorem </w:t>
      </w:r>
      <w:r w:rsidR="0026324B" w:rsidRPr="00767038">
        <w:rPr>
          <w:lang w:val="pl-PL"/>
        </w:rPr>
        <w:t>dostarczonym przez</w:t>
      </w:r>
      <w:r w:rsidRPr="00767038">
        <w:rPr>
          <w:lang w:val="pl-PL"/>
        </w:rPr>
        <w:t xml:space="preserve"> BMF. </w:t>
      </w:r>
      <w:r w:rsidR="0026324B" w:rsidRPr="00767038">
        <w:rPr>
          <w:lang w:val="pl-PL"/>
        </w:rPr>
        <w:t>N</w:t>
      </w:r>
      <w:r w:rsidRPr="00767038">
        <w:rPr>
          <w:lang w:val="pl-PL"/>
        </w:rPr>
        <w:t>astępując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informacj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związan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z finansami</w:t>
      </w:r>
      <w:r w:rsidR="0026324B" w:rsidRPr="00767038">
        <w:rPr>
          <w:lang w:val="pl-PL"/>
        </w:rPr>
        <w:t xml:space="preserve"> będą wymagane</w:t>
      </w:r>
      <w:r w:rsidRPr="00767038">
        <w:rPr>
          <w:lang w:val="pl-PL"/>
        </w:rPr>
        <w:t>:</w:t>
      </w:r>
    </w:p>
    <w:p w:rsidR="006608E4" w:rsidRPr="00767038" w:rsidRDefault="006608E4" w:rsidP="00767038">
      <w:pPr>
        <w:pStyle w:val="Akapitzlist"/>
        <w:numPr>
          <w:ilvl w:val="0"/>
          <w:numId w:val="6"/>
        </w:numPr>
        <w:rPr>
          <w:lang w:val="pl-PL"/>
        </w:rPr>
      </w:pPr>
      <w:r w:rsidRPr="00767038">
        <w:rPr>
          <w:lang w:val="pl-PL"/>
        </w:rPr>
        <w:t>budżet kosztów zarządzania;</w:t>
      </w:r>
    </w:p>
    <w:p w:rsidR="00044084" w:rsidRPr="00767038" w:rsidRDefault="00100536" w:rsidP="00767038">
      <w:pPr>
        <w:pStyle w:val="Akapitzlist"/>
        <w:numPr>
          <w:ilvl w:val="0"/>
          <w:numId w:val="6"/>
        </w:numPr>
        <w:rPr>
          <w:lang w:val="pl-PL"/>
        </w:rPr>
      </w:pPr>
      <w:r w:rsidRPr="00767038">
        <w:rPr>
          <w:lang w:val="pl-PL"/>
        </w:rPr>
        <w:t>dalsz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szczegółow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informacj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na temat organizacji wewnętrznej OP i zarządzania programem; </w:t>
      </w:r>
    </w:p>
    <w:p w:rsidR="00681CEA" w:rsidRPr="00767038" w:rsidRDefault="00681CEA" w:rsidP="00767038">
      <w:pPr>
        <w:pStyle w:val="Akapitzlist"/>
        <w:numPr>
          <w:ilvl w:val="0"/>
          <w:numId w:val="6"/>
        </w:numPr>
        <w:rPr>
          <w:lang w:val="pl-PL"/>
        </w:rPr>
      </w:pPr>
      <w:r w:rsidRPr="00767038">
        <w:rPr>
          <w:lang w:val="pl-PL"/>
        </w:rPr>
        <w:t>informacj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związan</w:t>
      </w:r>
      <w:r w:rsidR="0026324B" w:rsidRPr="00767038">
        <w:rPr>
          <w:lang w:val="pl-PL"/>
        </w:rPr>
        <w:t>e</w:t>
      </w:r>
      <w:r w:rsidRPr="00767038">
        <w:rPr>
          <w:lang w:val="pl-PL"/>
        </w:rPr>
        <w:t xml:space="preserve"> z projektem.</w:t>
      </w:r>
    </w:p>
    <w:p w:rsidR="00681CEA" w:rsidRPr="00767038" w:rsidRDefault="009A52B9" w:rsidP="00C27B08">
      <w:pPr>
        <w:pStyle w:val="Nagwek3"/>
        <w:rPr>
          <w:lang w:val="pl-PL"/>
        </w:rPr>
      </w:pPr>
      <w:r w:rsidRPr="00767038">
        <w:rPr>
          <w:lang w:val="pl-PL"/>
        </w:rPr>
        <w:t>Budżet kosztów zarządzania</w:t>
      </w:r>
    </w:p>
    <w:p w:rsidR="00FB563C" w:rsidRPr="00767038" w:rsidRDefault="00681CEA" w:rsidP="00376576">
      <w:pPr>
        <w:rPr>
          <w:lang w:val="pl-PL"/>
        </w:rPr>
      </w:pPr>
      <w:r w:rsidRPr="00767038">
        <w:rPr>
          <w:lang w:val="pl-PL"/>
        </w:rPr>
        <w:t xml:space="preserve">OP przedstawi BMF bardziej szczegółowy orientacyjny podział kosztów zarządzania, którego wymaga się w </w:t>
      </w:r>
      <w:r w:rsidR="00A110AF" w:rsidRPr="00767038">
        <w:rPr>
          <w:lang w:val="pl-PL"/>
        </w:rPr>
        <w:t>K</w:t>
      </w:r>
      <w:r w:rsidRPr="00767038">
        <w:rPr>
          <w:lang w:val="pl-PL"/>
        </w:rPr>
        <w:t>oncepcji programu. Szczegółowy podział zostanie wykorzystany do oceny efektywności kosztów zarządzania</w:t>
      </w:r>
      <w:r w:rsidR="00A110AF" w:rsidRPr="00767038">
        <w:rPr>
          <w:lang w:val="pl-PL"/>
        </w:rPr>
        <w:t>, podczas</w:t>
      </w:r>
      <w:r w:rsidRPr="00767038">
        <w:rPr>
          <w:lang w:val="pl-PL"/>
        </w:rPr>
        <w:t xml:space="preserve"> przygotow</w:t>
      </w:r>
      <w:r w:rsidR="00A110AF" w:rsidRPr="00767038">
        <w:rPr>
          <w:lang w:val="pl-PL"/>
        </w:rPr>
        <w:t>yw</w:t>
      </w:r>
      <w:r w:rsidRPr="00767038">
        <w:rPr>
          <w:lang w:val="pl-PL"/>
        </w:rPr>
        <w:t>ani</w:t>
      </w:r>
      <w:r w:rsidR="00A110AF" w:rsidRPr="00767038">
        <w:rPr>
          <w:lang w:val="pl-PL"/>
        </w:rPr>
        <w:t>a</w:t>
      </w:r>
      <w:r w:rsidRPr="00767038">
        <w:rPr>
          <w:lang w:val="pl-PL"/>
        </w:rPr>
        <w:t xml:space="preserve"> </w:t>
      </w:r>
      <w:r w:rsidR="00A110AF" w:rsidRPr="00767038">
        <w:rPr>
          <w:lang w:val="pl-PL"/>
        </w:rPr>
        <w:t>U</w:t>
      </w:r>
      <w:r w:rsidRPr="00767038">
        <w:rPr>
          <w:lang w:val="pl-PL"/>
        </w:rPr>
        <w:t>mowy w sprawie programu. Szczegółowy podział budżetu nie stanowi załącznik</w:t>
      </w:r>
      <w:r w:rsidR="00AB6135" w:rsidRPr="00767038">
        <w:rPr>
          <w:lang w:val="pl-PL"/>
        </w:rPr>
        <w:t>a</w:t>
      </w:r>
      <w:r w:rsidRPr="00767038">
        <w:rPr>
          <w:lang w:val="pl-PL"/>
        </w:rPr>
        <w:t xml:space="preserve"> do </w:t>
      </w:r>
      <w:r w:rsidR="00A110AF" w:rsidRPr="00767038">
        <w:rPr>
          <w:lang w:val="pl-PL"/>
        </w:rPr>
        <w:t>Umowy w sprawie programu</w:t>
      </w:r>
      <w:r w:rsidRPr="00767038">
        <w:rPr>
          <w:lang w:val="pl-PL"/>
        </w:rPr>
        <w:t>.</w:t>
      </w:r>
    </w:p>
    <w:p w:rsidR="00681CEA" w:rsidRPr="00767038" w:rsidRDefault="00FB563C" w:rsidP="00376576">
      <w:pPr>
        <w:rPr>
          <w:lang w:val="pl-PL"/>
        </w:rPr>
      </w:pPr>
      <w:r w:rsidRPr="00767038">
        <w:rPr>
          <w:lang w:val="pl-PL"/>
        </w:rPr>
        <w:t>Kategorie budżet</w:t>
      </w:r>
      <w:r w:rsidR="006D0614">
        <w:rPr>
          <w:lang w:val="pl-PL"/>
        </w:rPr>
        <w:t>owe</w:t>
      </w:r>
      <w:r w:rsidRPr="00767038">
        <w:rPr>
          <w:lang w:val="pl-PL"/>
        </w:rPr>
        <w:t xml:space="preserve"> mogą odpowiadać kategoriom określonym w art. 8.10.4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(tabela 2 poniżej), </w:t>
      </w:r>
      <w:r w:rsidR="00A35E94">
        <w:rPr>
          <w:lang w:val="pl-PL"/>
        </w:rPr>
        <w:t>pamię</w:t>
      </w:r>
      <w:r w:rsidR="00A35E94" w:rsidRPr="00767038">
        <w:rPr>
          <w:lang w:val="pl-PL"/>
        </w:rPr>
        <w:t>tając, że</w:t>
      </w:r>
      <w:r w:rsidRPr="00767038">
        <w:rPr>
          <w:lang w:val="pl-PL"/>
        </w:rPr>
        <w:t xml:space="preserve"> wyłącznie wydatki z jednej lub więcej kategorii, o których mowa poniżej, są kwalifikowalnymi kosztami zarządzania programem.</w:t>
      </w: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AF3A2D" w:rsidRPr="00767038" w:rsidRDefault="00A35E94" w:rsidP="00E74DEC">
      <w:pPr>
        <w:pStyle w:val="Legenda"/>
        <w:keepNext/>
        <w:keepLines/>
        <w:rPr>
          <w:lang w:val="pl-PL"/>
        </w:rPr>
      </w:pPr>
      <w:bookmarkStart w:id="13" w:name="_Toc467246319"/>
      <w:bookmarkStart w:id="14" w:name="_Toc486413513"/>
      <w:bookmarkStart w:id="15" w:name="Second_table"/>
      <w:r w:rsidRPr="00767038">
        <w:rPr>
          <w:iCs/>
          <w:lang w:val="pl-PL"/>
        </w:rPr>
        <w:lastRenderedPageBreak/>
        <w:t>Tabela</w:t>
      </w:r>
      <w:r>
        <w:rPr>
          <w:iCs/>
          <w:lang w:val="pl-PL"/>
        </w:rPr>
        <w:t xml:space="preserve"> </w:t>
      </w:r>
      <w:r w:rsidRPr="00767038">
        <w:rPr>
          <w:lang w:val="pl-PL"/>
        </w:rPr>
        <w:fldChar w:fldCharType="begin"/>
      </w:r>
      <w:r w:rsidRPr="00767038">
        <w:rPr>
          <w:lang w:val="pl-PL"/>
        </w:rPr>
        <w:instrText xml:space="preserve"> SEQ Table \* ARABIC </w:instrText>
      </w:r>
      <w:r w:rsidRPr="00767038">
        <w:rPr>
          <w:lang w:val="pl-PL"/>
        </w:rPr>
        <w:fldChar w:fldCharType="separate"/>
      </w:r>
      <w:r w:rsidRPr="00767038">
        <w:rPr>
          <w:noProof/>
          <w:lang w:val="pl-PL"/>
        </w:rPr>
        <w:t>2</w:t>
      </w:r>
      <w:r w:rsidRPr="00767038">
        <w:rPr>
          <w:iCs/>
          <w:noProof/>
          <w:lang w:val="pl-PL"/>
        </w:rPr>
        <w:fldChar w:fldCharType="end"/>
      </w:r>
      <w:r w:rsidR="00AF3A2D" w:rsidRPr="00767038">
        <w:rPr>
          <w:iCs/>
          <w:lang w:val="pl-PL"/>
        </w:rPr>
        <w:t>: Podział kosztów zarządzania według kategorii</w:t>
      </w:r>
      <w:bookmarkEnd w:id="13"/>
      <w:bookmarkEnd w:id="14"/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7366"/>
        <w:gridCol w:w="1650"/>
      </w:tblGrid>
      <w:tr w:rsidR="00726302" w:rsidRPr="00767038" w:rsidTr="00A71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7366" w:type="dxa"/>
            <w:vAlign w:val="center"/>
          </w:tcPr>
          <w:bookmarkEnd w:id="15"/>
          <w:p w:rsidR="00026095" w:rsidRPr="00767038" w:rsidRDefault="00026095" w:rsidP="00E74DEC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16"/>
                <w:lang w:val="pl-PL"/>
              </w:rPr>
            </w:pPr>
            <w:r w:rsidRPr="00767038">
              <w:rPr>
                <w:rFonts w:eastAsia="Times New Roman" w:cs="Times New Roman"/>
                <w:bCs/>
                <w:sz w:val="16"/>
                <w:lang w:val="pl-PL"/>
              </w:rPr>
              <w:t>Nagłówek</w:t>
            </w:r>
          </w:p>
        </w:tc>
        <w:tc>
          <w:tcPr>
            <w:tcW w:w="1650" w:type="dxa"/>
            <w:vAlign w:val="center"/>
          </w:tcPr>
          <w:p w:rsidR="00026095" w:rsidRPr="00767038" w:rsidRDefault="00026095" w:rsidP="00EF3B6D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16"/>
                <w:lang w:val="pl-PL"/>
              </w:rPr>
            </w:pPr>
            <w:r w:rsidRPr="00767038">
              <w:rPr>
                <w:rFonts w:eastAsia="Times New Roman" w:cs="Times New Roman"/>
                <w:bCs/>
                <w:sz w:val="16"/>
                <w:lang w:val="pl-PL"/>
              </w:rPr>
              <w:t>Kwota w euro</w:t>
            </w:r>
          </w:p>
        </w:tc>
      </w:tr>
      <w:tr w:rsidR="00026095" w:rsidRPr="00767038" w:rsidTr="00A71EB5">
        <w:trPr>
          <w:trHeight w:hRule="exact" w:val="397"/>
        </w:trPr>
        <w:tc>
          <w:tcPr>
            <w:tcW w:w="7366" w:type="dxa"/>
            <w:vAlign w:val="center"/>
          </w:tcPr>
          <w:p w:rsidR="00026095" w:rsidRPr="00767038" w:rsidRDefault="00026095" w:rsidP="00C604D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 xml:space="preserve">Opracowanie programu – </w:t>
            </w:r>
            <w:r w:rsidR="00C604D9" w:rsidRPr="00767038">
              <w:rPr>
                <w:color w:val="000000"/>
                <w:sz w:val="16"/>
                <w:lang w:val="pl-PL"/>
              </w:rPr>
              <w:t>przed</w:t>
            </w:r>
            <w:r w:rsidRPr="00767038">
              <w:rPr>
                <w:color w:val="000000"/>
                <w:sz w:val="16"/>
                <w:lang w:val="pl-PL"/>
              </w:rPr>
              <w:t xml:space="preserve"> zatwierdzeni</w:t>
            </w:r>
            <w:r w:rsidR="00C604D9" w:rsidRPr="00767038">
              <w:rPr>
                <w:color w:val="000000"/>
                <w:sz w:val="16"/>
                <w:lang w:val="pl-PL"/>
              </w:rPr>
              <w:t>em</w:t>
            </w:r>
            <w:r w:rsidRPr="00767038">
              <w:rPr>
                <w:color w:val="000000"/>
                <w:sz w:val="16"/>
                <w:lang w:val="pl-PL"/>
              </w:rPr>
              <w:t xml:space="preserve"> (art. </w:t>
            </w:r>
            <w:r w:rsidRPr="00767038">
              <w:rPr>
                <w:sz w:val="16"/>
                <w:lang w:val="pl-PL"/>
              </w:rPr>
              <w:t xml:space="preserve">8.10.4 lit. (a) </w:t>
            </w:r>
            <w:r w:rsidR="005A62D3" w:rsidRPr="00767038">
              <w:rPr>
                <w:sz w:val="16"/>
                <w:lang w:val="pl-PL"/>
              </w:rPr>
              <w:t>Regulacji</w:t>
            </w:r>
            <w:r w:rsidRPr="00767038">
              <w:rPr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A71EB5">
        <w:trPr>
          <w:trHeight w:hRule="exact" w:val="397"/>
        </w:trPr>
        <w:tc>
          <w:tcPr>
            <w:tcW w:w="7366" w:type="dxa"/>
            <w:vAlign w:val="center"/>
            <w:hideMark/>
          </w:tcPr>
          <w:p w:rsidR="00026095" w:rsidRPr="00767038" w:rsidRDefault="00231058" w:rsidP="00E74DEC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Przygotowanie wdr</w:t>
            </w:r>
            <w:r w:rsidR="00C604D9" w:rsidRPr="00767038">
              <w:rPr>
                <w:color w:val="000000"/>
                <w:sz w:val="16"/>
                <w:lang w:val="pl-PL"/>
              </w:rPr>
              <w:t>a</w:t>
            </w:r>
            <w:r w:rsidRPr="00767038">
              <w:rPr>
                <w:color w:val="000000"/>
                <w:sz w:val="16"/>
                <w:lang w:val="pl-PL"/>
              </w:rPr>
              <w:t>ż</w:t>
            </w:r>
            <w:r w:rsidR="00C604D9" w:rsidRPr="00767038">
              <w:rPr>
                <w:color w:val="000000"/>
                <w:sz w:val="16"/>
                <w:lang w:val="pl-PL"/>
              </w:rPr>
              <w:t>a</w:t>
            </w:r>
            <w:r w:rsidRPr="00767038">
              <w:rPr>
                <w:color w:val="000000"/>
                <w:sz w:val="16"/>
                <w:lang w:val="pl-PL"/>
              </w:rPr>
              <w:t xml:space="preserve">nia programu (art. </w:t>
            </w:r>
            <w:r w:rsidRPr="00767038">
              <w:rPr>
                <w:sz w:val="16"/>
                <w:lang w:val="pl-PL"/>
              </w:rPr>
              <w:t xml:space="preserve">8.10.4 lit. (b) </w:t>
            </w:r>
            <w:r w:rsidR="005A62D3" w:rsidRPr="00767038">
              <w:rPr>
                <w:sz w:val="16"/>
                <w:lang w:val="pl-PL"/>
              </w:rPr>
              <w:t>Regulacji</w:t>
            </w:r>
            <w:r w:rsidRPr="00767038">
              <w:rPr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A71EB5">
        <w:trPr>
          <w:trHeight w:hRule="exact" w:val="397"/>
        </w:trPr>
        <w:tc>
          <w:tcPr>
            <w:tcW w:w="7366" w:type="dxa"/>
            <w:vAlign w:val="center"/>
            <w:hideMark/>
          </w:tcPr>
          <w:p w:rsidR="00026095" w:rsidRPr="00767038" w:rsidRDefault="00026095" w:rsidP="00E74DEC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 xml:space="preserve">Ocena i wybór projektów (art. </w:t>
            </w:r>
            <w:r w:rsidRPr="00767038">
              <w:rPr>
                <w:sz w:val="16"/>
                <w:lang w:val="pl-PL"/>
              </w:rPr>
              <w:t xml:space="preserve">8.10.4 lit. (c)/(d) </w:t>
            </w:r>
            <w:r w:rsidR="005A62D3" w:rsidRPr="00767038">
              <w:rPr>
                <w:sz w:val="16"/>
                <w:lang w:val="pl-PL"/>
              </w:rPr>
              <w:t>Regulacji</w:t>
            </w:r>
            <w:r w:rsidRPr="00767038">
              <w:rPr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767038">
        <w:trPr>
          <w:trHeight w:hRule="exact" w:val="448"/>
        </w:trPr>
        <w:tc>
          <w:tcPr>
            <w:tcW w:w="7366" w:type="dxa"/>
            <w:vAlign w:val="center"/>
          </w:tcPr>
          <w:p w:rsidR="00026095" w:rsidRPr="00767038" w:rsidRDefault="003A24C2" w:rsidP="00C604D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Weryfikacja wydatków, monitor</w:t>
            </w:r>
            <w:r w:rsidR="00C604D9"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owanie</w:t>
            </w: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 xml:space="preserve"> i audyty (art. 8.10 lit. (e), (f), (g) </w:t>
            </w:r>
            <w:r w:rsidR="005A62D3"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Regulacji</w:t>
            </w: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A71EB5">
        <w:trPr>
          <w:trHeight w:hRule="exact" w:val="397"/>
        </w:trPr>
        <w:tc>
          <w:tcPr>
            <w:tcW w:w="7366" w:type="dxa"/>
            <w:vAlign w:val="center"/>
            <w:hideMark/>
          </w:tcPr>
          <w:p w:rsidR="00026095" w:rsidRPr="00767038" w:rsidRDefault="00026095" w:rsidP="00C604D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Działania promocyjn</w:t>
            </w:r>
            <w:r w:rsidR="00C604D9" w:rsidRPr="00767038">
              <w:rPr>
                <w:color w:val="000000"/>
                <w:sz w:val="16"/>
                <w:lang w:val="pl-PL"/>
              </w:rPr>
              <w:t xml:space="preserve">e i </w:t>
            </w:r>
            <w:r w:rsidRPr="00767038">
              <w:rPr>
                <w:color w:val="000000"/>
                <w:sz w:val="16"/>
                <w:lang w:val="pl-PL"/>
              </w:rPr>
              <w:t xml:space="preserve">informacyjne (art. </w:t>
            </w:r>
            <w:r w:rsidRPr="00767038">
              <w:rPr>
                <w:sz w:val="16"/>
                <w:lang w:val="pl-PL"/>
              </w:rPr>
              <w:t xml:space="preserve">8.10.4 lit. </w:t>
            </w:r>
            <w:r w:rsidRPr="00767038">
              <w:rPr>
                <w:color w:val="000000"/>
                <w:sz w:val="16"/>
                <w:lang w:val="pl-PL"/>
              </w:rPr>
              <w:t xml:space="preserve">(h) </w:t>
            </w:r>
            <w:r w:rsidR="005A62D3" w:rsidRPr="00767038">
              <w:rPr>
                <w:color w:val="000000"/>
                <w:sz w:val="16"/>
                <w:lang w:val="pl-PL"/>
              </w:rPr>
              <w:t>Regulacji</w:t>
            </w:r>
            <w:r w:rsidRPr="00767038">
              <w:rPr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767038">
        <w:trPr>
          <w:trHeight w:hRule="exact" w:val="461"/>
        </w:trPr>
        <w:tc>
          <w:tcPr>
            <w:tcW w:w="7366" w:type="dxa"/>
            <w:vAlign w:val="center"/>
            <w:hideMark/>
          </w:tcPr>
          <w:p w:rsidR="00026095" w:rsidRPr="00767038" w:rsidRDefault="00026095" w:rsidP="00C604D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Raportowanie do KMF/</w:t>
            </w:r>
            <w:r w:rsidR="00C604D9" w:rsidRPr="00767038">
              <w:rPr>
                <w:color w:val="000000"/>
                <w:sz w:val="16"/>
                <w:lang w:val="pl-PL"/>
              </w:rPr>
              <w:t>NMSZ</w:t>
            </w:r>
            <w:r w:rsidRPr="00767038">
              <w:rPr>
                <w:color w:val="000000"/>
                <w:sz w:val="16"/>
                <w:lang w:val="pl-PL"/>
              </w:rPr>
              <w:t xml:space="preserve"> i </w:t>
            </w:r>
            <w:r w:rsidR="00C604D9" w:rsidRPr="00767038">
              <w:rPr>
                <w:color w:val="000000"/>
                <w:sz w:val="16"/>
                <w:lang w:val="pl-PL"/>
              </w:rPr>
              <w:t xml:space="preserve">instytucji </w:t>
            </w:r>
            <w:r w:rsidRPr="00767038">
              <w:rPr>
                <w:color w:val="000000"/>
                <w:sz w:val="16"/>
                <w:lang w:val="pl-PL"/>
              </w:rPr>
              <w:t xml:space="preserve">krajowych (art. </w:t>
            </w:r>
            <w:r w:rsidRPr="00767038">
              <w:rPr>
                <w:sz w:val="16"/>
                <w:lang w:val="pl-PL"/>
              </w:rPr>
              <w:t xml:space="preserve">8.10.4 lit. (i) </w:t>
            </w:r>
            <w:r w:rsidR="005A62D3" w:rsidRPr="00767038">
              <w:rPr>
                <w:color w:val="000000"/>
                <w:sz w:val="16"/>
                <w:lang w:val="pl-PL"/>
              </w:rPr>
              <w:t>Regulacji</w:t>
            </w:r>
            <w:r w:rsidRPr="00767038">
              <w:rPr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767038">
        <w:trPr>
          <w:trHeight w:hRule="exact" w:val="427"/>
        </w:trPr>
        <w:tc>
          <w:tcPr>
            <w:tcW w:w="7366" w:type="dxa"/>
            <w:vAlign w:val="center"/>
            <w:hideMark/>
          </w:tcPr>
          <w:p w:rsidR="00026095" w:rsidRPr="00767038" w:rsidRDefault="00026095" w:rsidP="00E74DEC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>Otwarcie i prowadzenie rachunków ba</w:t>
            </w:r>
            <w:r w:rsidR="00C604D9" w:rsidRPr="00767038">
              <w:rPr>
                <w:color w:val="000000"/>
                <w:sz w:val="16"/>
                <w:lang w:val="pl-PL"/>
              </w:rPr>
              <w:t>n</w:t>
            </w:r>
            <w:r w:rsidRPr="00767038">
              <w:rPr>
                <w:color w:val="000000"/>
                <w:sz w:val="16"/>
                <w:lang w:val="pl-PL"/>
              </w:rPr>
              <w:t xml:space="preserve">kowych (art. </w:t>
            </w:r>
            <w:r w:rsidRPr="00767038">
              <w:rPr>
                <w:sz w:val="16"/>
                <w:lang w:val="pl-PL"/>
              </w:rPr>
              <w:t xml:space="preserve">8.10.4 lit. (j) </w:t>
            </w:r>
            <w:r w:rsidR="005A62D3" w:rsidRPr="00767038">
              <w:rPr>
                <w:color w:val="000000"/>
                <w:sz w:val="16"/>
                <w:lang w:val="pl-PL"/>
              </w:rPr>
              <w:t>Regulacji</w:t>
            </w:r>
            <w:r w:rsidRPr="00767038">
              <w:rPr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F2584" w:rsidTr="00A71EB5">
        <w:trPr>
          <w:trHeight w:hRule="exact" w:val="397"/>
        </w:trPr>
        <w:tc>
          <w:tcPr>
            <w:tcW w:w="7366" w:type="dxa"/>
            <w:vAlign w:val="center"/>
          </w:tcPr>
          <w:p w:rsidR="00026095" w:rsidRPr="00767038" w:rsidRDefault="00026095" w:rsidP="00C604D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 xml:space="preserve">Koszty </w:t>
            </w:r>
            <w:r w:rsidR="00C604D9"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 xml:space="preserve">ogólne </w:t>
            </w: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 xml:space="preserve">(art. 8.10.4 lit. (k) </w:t>
            </w:r>
            <w:r w:rsidR="005A62D3"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Regulacji</w:t>
            </w: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A71EB5">
        <w:trPr>
          <w:trHeight w:hRule="exact" w:val="397"/>
        </w:trPr>
        <w:tc>
          <w:tcPr>
            <w:tcW w:w="7366" w:type="dxa"/>
            <w:vAlign w:val="center"/>
          </w:tcPr>
          <w:p w:rsidR="00026095" w:rsidRPr="00767038" w:rsidRDefault="00026095" w:rsidP="0042703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 xml:space="preserve">Wydatki związane z Komitetem Współpracy (art. 8.10.4 lit. (l) </w:t>
            </w:r>
            <w:r w:rsidR="005A62D3"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Regulacji</w:t>
            </w:r>
            <w:r w:rsidRPr="00767038">
              <w:rPr>
                <w:rFonts w:eastAsia="Times New Roman" w:cs="Times New Roman"/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767038">
        <w:trPr>
          <w:trHeight w:hRule="exact" w:val="619"/>
        </w:trPr>
        <w:tc>
          <w:tcPr>
            <w:tcW w:w="7366" w:type="dxa"/>
            <w:vAlign w:val="center"/>
            <w:hideMark/>
          </w:tcPr>
          <w:p w:rsidR="00026095" w:rsidRPr="00767038" w:rsidRDefault="00427039" w:rsidP="00C604D9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 xml:space="preserve">Wydatki związane </w:t>
            </w:r>
            <w:r w:rsidR="00C604D9" w:rsidRPr="00767038">
              <w:rPr>
                <w:color w:val="000000"/>
                <w:sz w:val="16"/>
                <w:lang w:val="pl-PL"/>
              </w:rPr>
              <w:t>z zacieśnieniem współpracy</w:t>
            </w:r>
            <w:r w:rsidRPr="00767038">
              <w:rPr>
                <w:color w:val="000000"/>
                <w:sz w:val="16"/>
                <w:lang w:val="pl-PL"/>
              </w:rPr>
              <w:t xml:space="preserve"> dwustronn</w:t>
            </w:r>
            <w:r w:rsidR="00C604D9" w:rsidRPr="00767038">
              <w:rPr>
                <w:color w:val="000000"/>
                <w:sz w:val="16"/>
                <w:lang w:val="pl-PL"/>
              </w:rPr>
              <w:t>ej</w:t>
            </w:r>
            <w:r w:rsidRPr="00767038">
              <w:rPr>
                <w:color w:val="000000"/>
                <w:sz w:val="16"/>
                <w:lang w:val="pl-PL"/>
              </w:rPr>
              <w:t xml:space="preserve"> (art. </w:t>
            </w:r>
            <w:r w:rsidRPr="00767038">
              <w:rPr>
                <w:sz w:val="16"/>
                <w:lang w:val="pl-PL"/>
              </w:rPr>
              <w:t xml:space="preserve">8.10.4 lit. (m) </w:t>
            </w:r>
            <w:r w:rsidR="005A62D3" w:rsidRPr="00767038">
              <w:rPr>
                <w:color w:val="000000"/>
                <w:sz w:val="16"/>
                <w:lang w:val="pl-PL"/>
              </w:rPr>
              <w:t>Regulacji</w:t>
            </w:r>
            <w:r w:rsidRPr="00767038">
              <w:rPr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767038">
        <w:trPr>
          <w:trHeight w:hRule="exact" w:val="868"/>
        </w:trPr>
        <w:tc>
          <w:tcPr>
            <w:tcW w:w="7366" w:type="dxa"/>
            <w:vAlign w:val="center"/>
          </w:tcPr>
          <w:p w:rsidR="00026095" w:rsidRPr="00767038" w:rsidRDefault="00026095" w:rsidP="00C604D9">
            <w:pPr>
              <w:keepNext/>
              <w:keepLines/>
              <w:spacing w:before="0" w:after="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color w:val="000000"/>
                <w:sz w:val="16"/>
                <w:lang w:val="pl-PL"/>
              </w:rPr>
              <w:t xml:space="preserve">Działania w ramach współpracy, wymiana najlepszych praktyk między Operatorami Programów i </w:t>
            </w:r>
            <w:r w:rsidR="00C604D9" w:rsidRPr="00767038">
              <w:rPr>
                <w:color w:val="000000"/>
                <w:sz w:val="16"/>
                <w:lang w:val="pl-PL"/>
              </w:rPr>
              <w:t>podobnymi podmiotami</w:t>
            </w:r>
            <w:r w:rsidRPr="00767038">
              <w:rPr>
                <w:color w:val="000000"/>
                <w:sz w:val="16"/>
                <w:lang w:val="pl-PL"/>
              </w:rPr>
              <w:t xml:space="preserve"> w </w:t>
            </w:r>
            <w:r w:rsidR="00C604D9" w:rsidRPr="00767038">
              <w:rPr>
                <w:color w:val="000000"/>
                <w:sz w:val="16"/>
                <w:lang w:val="pl-PL"/>
              </w:rPr>
              <w:t>Państwach-</w:t>
            </w:r>
            <w:r w:rsidR="00A35E94">
              <w:rPr>
                <w:color w:val="000000"/>
                <w:sz w:val="16"/>
                <w:lang w:val="pl-PL"/>
              </w:rPr>
              <w:t>Beneficjent</w:t>
            </w:r>
            <w:r w:rsidR="00A35E94" w:rsidRPr="00767038">
              <w:rPr>
                <w:color w:val="000000"/>
                <w:sz w:val="16"/>
                <w:lang w:val="pl-PL"/>
              </w:rPr>
              <w:t>ach</w:t>
            </w:r>
            <w:r w:rsidRPr="00767038">
              <w:rPr>
                <w:color w:val="000000"/>
                <w:sz w:val="16"/>
                <w:lang w:val="pl-PL"/>
              </w:rPr>
              <w:t xml:space="preserve"> i/lub </w:t>
            </w:r>
            <w:r w:rsidR="00C604D9" w:rsidRPr="00767038">
              <w:rPr>
                <w:color w:val="000000"/>
                <w:sz w:val="16"/>
                <w:lang w:val="pl-PL"/>
              </w:rPr>
              <w:t>Państwach-Darczyńcach</w:t>
            </w:r>
            <w:r w:rsidRPr="00767038">
              <w:rPr>
                <w:color w:val="000000"/>
                <w:sz w:val="16"/>
                <w:lang w:val="pl-PL"/>
              </w:rPr>
              <w:t xml:space="preserve"> i/lub organizacjami międzynarodowymi (art. </w:t>
            </w:r>
            <w:r w:rsidRPr="00767038">
              <w:rPr>
                <w:sz w:val="16"/>
                <w:lang w:val="pl-PL"/>
              </w:rPr>
              <w:t>8.10.4 lit. (n)</w:t>
            </w:r>
            <w:r w:rsidRPr="00767038">
              <w:rPr>
                <w:color w:val="000000"/>
                <w:sz w:val="16"/>
                <w:lang w:val="pl-PL"/>
              </w:rPr>
              <w:t xml:space="preserve"> </w:t>
            </w:r>
            <w:r w:rsidR="005A62D3" w:rsidRPr="00767038">
              <w:rPr>
                <w:color w:val="000000"/>
                <w:sz w:val="16"/>
                <w:lang w:val="pl-PL"/>
              </w:rPr>
              <w:t>Regulacji</w:t>
            </w:r>
            <w:r w:rsidRPr="00767038">
              <w:rPr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Cs/>
                <w:color w:val="000000"/>
                <w:sz w:val="16"/>
                <w:lang w:val="pl-PL"/>
              </w:rPr>
            </w:pPr>
          </w:p>
        </w:tc>
      </w:tr>
      <w:tr w:rsidR="00026095" w:rsidRPr="00767038" w:rsidTr="00A71EB5">
        <w:trPr>
          <w:trHeight w:hRule="exact" w:val="397"/>
        </w:trPr>
        <w:tc>
          <w:tcPr>
            <w:tcW w:w="7366" w:type="dxa"/>
            <w:vAlign w:val="center"/>
            <w:hideMark/>
          </w:tcPr>
          <w:p w:rsidR="00026095" w:rsidRPr="00767038" w:rsidRDefault="00026095" w:rsidP="00E74DEC">
            <w:pPr>
              <w:keepNext/>
              <w:keepLines/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  <w:r w:rsidRPr="00767038"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  <w:t>Całkowity budżet</w:t>
            </w:r>
          </w:p>
        </w:tc>
        <w:tc>
          <w:tcPr>
            <w:tcW w:w="1650" w:type="dxa"/>
          </w:tcPr>
          <w:p w:rsidR="00026095" w:rsidRPr="00767038" w:rsidRDefault="00026095" w:rsidP="00E74DEC">
            <w:pPr>
              <w:keepNext/>
              <w:keepLines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lang w:val="pl-PL"/>
              </w:rPr>
            </w:pPr>
          </w:p>
        </w:tc>
      </w:tr>
    </w:tbl>
    <w:p w:rsidR="00484474" w:rsidRPr="00767038" w:rsidRDefault="00215E29" w:rsidP="00376576">
      <w:pPr>
        <w:rPr>
          <w:lang w:val="pl-PL"/>
        </w:rPr>
      </w:pPr>
      <w:r w:rsidRPr="00767038">
        <w:rPr>
          <w:lang w:val="pl-PL"/>
        </w:rPr>
        <w:t xml:space="preserve">Ponadto należy przedstawić całkowite koszty w odniesieniu do różnych rodzajów wydatków, </w:t>
      </w:r>
      <w:r w:rsidR="00A35E94" w:rsidRPr="00767038">
        <w:rPr>
          <w:lang w:val="pl-PL"/>
        </w:rPr>
        <w:t>tak, aby</w:t>
      </w:r>
      <w:r w:rsidRPr="00767038">
        <w:rPr>
          <w:lang w:val="pl-PL"/>
        </w:rPr>
        <w:t xml:space="preserve"> BMF mogło ocenić efektywność kosztów zarządzania w trakcie przygotowywania </w:t>
      </w:r>
      <w:r w:rsidR="00C604D9" w:rsidRPr="00767038">
        <w:rPr>
          <w:lang w:val="pl-PL"/>
        </w:rPr>
        <w:t>U</w:t>
      </w:r>
      <w:r w:rsidRPr="00767038">
        <w:rPr>
          <w:lang w:val="pl-PL"/>
        </w:rPr>
        <w:t xml:space="preserve">mowy w sprawie programu (tabela 3 poniżej). </w:t>
      </w:r>
    </w:p>
    <w:p w:rsidR="00597B3B" w:rsidRPr="00767038" w:rsidRDefault="00A35E94" w:rsidP="00597B3B">
      <w:pPr>
        <w:pStyle w:val="Legenda"/>
        <w:keepNext/>
        <w:rPr>
          <w:lang w:val="pl-PL"/>
        </w:rPr>
      </w:pPr>
      <w:bookmarkStart w:id="16" w:name="_Toc486413514"/>
      <w:bookmarkStart w:id="17" w:name="Third_table"/>
      <w:r w:rsidRPr="00767038">
        <w:rPr>
          <w:iCs/>
          <w:lang w:val="pl-PL"/>
        </w:rPr>
        <w:t>Tabela</w:t>
      </w:r>
      <w:r>
        <w:rPr>
          <w:iCs/>
          <w:lang w:val="pl-PL"/>
        </w:rPr>
        <w:t xml:space="preserve"> </w:t>
      </w:r>
      <w:r w:rsidRPr="00767038">
        <w:rPr>
          <w:lang w:val="pl-PL"/>
        </w:rPr>
        <w:fldChar w:fldCharType="begin"/>
      </w:r>
      <w:r w:rsidRPr="00767038">
        <w:rPr>
          <w:lang w:val="pl-PL"/>
        </w:rPr>
        <w:instrText xml:space="preserve"> SEQ Table \* ARABIC </w:instrText>
      </w:r>
      <w:r w:rsidRPr="00767038">
        <w:rPr>
          <w:lang w:val="pl-PL"/>
        </w:rPr>
        <w:fldChar w:fldCharType="separate"/>
      </w:r>
      <w:r w:rsidRPr="00767038">
        <w:rPr>
          <w:noProof/>
          <w:lang w:val="pl-PL"/>
        </w:rPr>
        <w:t>3</w:t>
      </w:r>
      <w:r w:rsidRPr="00767038">
        <w:rPr>
          <w:iCs/>
          <w:noProof/>
          <w:lang w:val="pl-PL"/>
        </w:rPr>
        <w:fldChar w:fldCharType="end"/>
      </w:r>
      <w:r w:rsidR="00597B3B" w:rsidRPr="00767038">
        <w:rPr>
          <w:iCs/>
          <w:lang w:val="pl-PL"/>
        </w:rPr>
        <w:t>: Koszty zarządzania programem według pozycji budżetowych - przykład</w:t>
      </w:r>
      <w:bookmarkEnd w:id="16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5557"/>
      </w:tblGrid>
      <w:tr w:rsidR="00B71807" w:rsidRPr="00767038" w:rsidTr="0026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bookmarkEnd w:id="17"/>
          <w:p w:rsidR="00B71807" w:rsidRPr="00767038" w:rsidRDefault="00B71807" w:rsidP="00484474">
            <w:pPr>
              <w:jc w:val="center"/>
              <w:rPr>
                <w:sz w:val="16"/>
                <w:szCs w:val="16"/>
                <w:lang w:val="pl-PL"/>
              </w:rPr>
            </w:pPr>
            <w:r w:rsidRPr="00767038">
              <w:rPr>
                <w:bCs/>
                <w:sz w:val="16"/>
                <w:szCs w:val="16"/>
                <w:lang w:val="pl-PL"/>
              </w:rPr>
              <w:t>Rodzaj wydatków</w:t>
            </w:r>
          </w:p>
        </w:tc>
        <w:tc>
          <w:tcPr>
            <w:tcW w:w="1275" w:type="dxa"/>
            <w:vAlign w:val="center"/>
          </w:tcPr>
          <w:p w:rsidR="00B71807" w:rsidRPr="00767038" w:rsidRDefault="00B71807" w:rsidP="00484474">
            <w:pPr>
              <w:jc w:val="center"/>
              <w:rPr>
                <w:sz w:val="16"/>
                <w:szCs w:val="16"/>
                <w:lang w:val="pl-PL"/>
              </w:rPr>
            </w:pPr>
            <w:r w:rsidRPr="00767038">
              <w:rPr>
                <w:bCs/>
                <w:sz w:val="16"/>
                <w:szCs w:val="16"/>
                <w:lang w:val="pl-PL"/>
              </w:rPr>
              <w:t xml:space="preserve">Całkowite koszty </w:t>
            </w:r>
            <w:r w:rsidR="00265F1A" w:rsidRPr="00767038">
              <w:rPr>
                <w:bCs/>
                <w:sz w:val="16"/>
                <w:szCs w:val="16"/>
                <w:lang w:val="pl-PL"/>
              </w:rPr>
              <w:br/>
            </w:r>
            <w:r w:rsidRPr="00767038">
              <w:rPr>
                <w:bCs/>
                <w:sz w:val="16"/>
                <w:szCs w:val="16"/>
                <w:lang w:val="pl-PL"/>
              </w:rPr>
              <w:t>(w euro)</w:t>
            </w:r>
          </w:p>
        </w:tc>
        <w:tc>
          <w:tcPr>
            <w:tcW w:w="5557" w:type="dxa"/>
          </w:tcPr>
          <w:p w:rsidR="00B71807" w:rsidRPr="00767038" w:rsidRDefault="00B71807" w:rsidP="00484474">
            <w:pPr>
              <w:jc w:val="center"/>
              <w:rPr>
                <w:sz w:val="16"/>
                <w:szCs w:val="16"/>
                <w:lang w:val="pl-PL"/>
              </w:rPr>
            </w:pPr>
            <w:r w:rsidRPr="00767038">
              <w:rPr>
                <w:bCs/>
                <w:sz w:val="16"/>
                <w:szCs w:val="16"/>
                <w:lang w:val="pl-PL"/>
              </w:rPr>
              <w:t>Uwagi/dodatkowe informacje</w:t>
            </w:r>
          </w:p>
        </w:tc>
      </w:tr>
      <w:tr w:rsidR="00B71807" w:rsidRPr="007F2584" w:rsidTr="00265F1A">
        <w:tc>
          <w:tcPr>
            <w:tcW w:w="223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Koszty personelu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C604D9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 xml:space="preserve">Liczba pracowników, okres zatrudnienia i zatrudnienia w niepełnym lub pełnym wymiarze czasu pracy (jeżeli </w:t>
            </w:r>
            <w:r w:rsidR="00C604D9" w:rsidRPr="00767038">
              <w:rPr>
                <w:i/>
                <w:iCs/>
                <w:sz w:val="16"/>
                <w:szCs w:val="16"/>
                <w:lang w:val="pl-PL"/>
              </w:rPr>
              <w:t>dotyczy</w:t>
            </w:r>
            <w:r w:rsidRPr="00767038">
              <w:rPr>
                <w:i/>
                <w:iCs/>
                <w:sz w:val="16"/>
                <w:szCs w:val="16"/>
                <w:lang w:val="pl-PL"/>
              </w:rPr>
              <w:t>).</w:t>
            </w:r>
          </w:p>
        </w:tc>
      </w:tr>
      <w:tr w:rsidR="00B71807" w:rsidRPr="007F2584" w:rsidTr="00265F1A">
        <w:tc>
          <w:tcPr>
            <w:tcW w:w="223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Amortyzacja wyposażenia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Określić wyposażenie, w tym rodzaj, liczbę sztuk i koszt, zaczynając od najbardziej wartościowego wyposażenia.</w:t>
            </w:r>
          </w:p>
        </w:tc>
      </w:tr>
      <w:tr w:rsidR="00B71807" w:rsidRPr="007F2584" w:rsidTr="00265F1A">
        <w:tc>
          <w:tcPr>
            <w:tcW w:w="223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Koszty spotkań i podróży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AA6D76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Uzasadnić według liczby podróży i spotka</w:t>
            </w:r>
            <w:r w:rsidR="00AA6D76" w:rsidRPr="00767038">
              <w:rPr>
                <w:i/>
                <w:iCs/>
                <w:sz w:val="16"/>
                <w:szCs w:val="16"/>
                <w:lang w:val="pl-PL"/>
              </w:rPr>
              <w:t>ń</w:t>
            </w:r>
            <w:r w:rsidRPr="00767038">
              <w:rPr>
                <w:i/>
                <w:iCs/>
                <w:sz w:val="16"/>
                <w:szCs w:val="16"/>
                <w:lang w:val="pl-PL"/>
              </w:rPr>
              <w:t xml:space="preserve"> – określić szacunkowy budżet oddzielnie dla podróży i spotkań.</w:t>
            </w:r>
          </w:p>
        </w:tc>
      </w:tr>
      <w:tr w:rsidR="00B71807" w:rsidRPr="007F2584" w:rsidTr="00265F1A">
        <w:tc>
          <w:tcPr>
            <w:tcW w:w="223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Eksperci zewnętrzni (wybór projektu, monitoring, audyty, przeglądy itd.)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C604D9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Uzasadnić koszty w podzia</w:t>
            </w:r>
            <w:r w:rsidR="00C604D9" w:rsidRPr="00767038">
              <w:rPr>
                <w:i/>
                <w:iCs/>
                <w:sz w:val="16"/>
                <w:szCs w:val="16"/>
                <w:lang w:val="pl-PL"/>
              </w:rPr>
              <w:t>le</w:t>
            </w:r>
            <w:r w:rsidRPr="00767038">
              <w:rPr>
                <w:i/>
                <w:iCs/>
                <w:sz w:val="16"/>
                <w:szCs w:val="16"/>
                <w:lang w:val="pl-PL"/>
              </w:rPr>
              <w:t xml:space="preserve"> według rodzaju usługi (np. wybór projektu, monitoring, audyt itd.).</w:t>
            </w:r>
          </w:p>
        </w:tc>
      </w:tr>
      <w:tr w:rsidR="00B71807" w:rsidRPr="007F2584" w:rsidTr="00265F1A">
        <w:tc>
          <w:tcPr>
            <w:tcW w:w="2235" w:type="dxa"/>
          </w:tcPr>
          <w:p w:rsidR="00B71807" w:rsidRPr="00767038" w:rsidRDefault="00B71807" w:rsidP="009929E7">
            <w:pPr>
              <w:jc w:val="left"/>
              <w:rPr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Koszty raportowania i działań promocyjn</w:t>
            </w:r>
            <w:r w:rsidR="009929E7" w:rsidRPr="00767038">
              <w:rPr>
                <w:sz w:val="16"/>
                <w:szCs w:val="16"/>
                <w:lang w:val="pl-PL"/>
              </w:rPr>
              <w:t xml:space="preserve">ych i </w:t>
            </w:r>
            <w:r w:rsidRPr="00767038">
              <w:rPr>
                <w:sz w:val="16"/>
                <w:szCs w:val="16"/>
                <w:lang w:val="pl-PL"/>
              </w:rPr>
              <w:t>informacyjnych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9929E7">
            <w:pPr>
              <w:jc w:val="left"/>
              <w:rPr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Zapewnić, że w budżecie zostały uwzględnione wszelkie obowiązkowe zadania związane z raportowaniem i promocją. Uzasadnić koszty w podzia</w:t>
            </w:r>
            <w:r w:rsidR="009929E7" w:rsidRPr="00767038">
              <w:rPr>
                <w:i/>
                <w:iCs/>
                <w:sz w:val="16"/>
                <w:szCs w:val="16"/>
                <w:lang w:val="pl-PL"/>
              </w:rPr>
              <w:t>le</w:t>
            </w:r>
            <w:r w:rsidRPr="00767038">
              <w:rPr>
                <w:i/>
                <w:iCs/>
                <w:sz w:val="16"/>
                <w:szCs w:val="16"/>
                <w:lang w:val="pl-PL"/>
              </w:rPr>
              <w:t xml:space="preserve"> według rodzaju usługi (np. raportowanie i/lub promocja).</w:t>
            </w:r>
          </w:p>
        </w:tc>
      </w:tr>
      <w:tr w:rsidR="00B71807" w:rsidRPr="007F2584" w:rsidTr="00265F1A">
        <w:tc>
          <w:tcPr>
            <w:tcW w:w="2235" w:type="dxa"/>
          </w:tcPr>
          <w:p w:rsidR="00B71807" w:rsidRPr="00767038" w:rsidRDefault="00B71807" w:rsidP="00B033FD">
            <w:pPr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Opłaty związane z rachunkami bankowymi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i/>
                <w:iCs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B033FD">
            <w:pPr>
              <w:jc w:val="left"/>
              <w:rPr>
                <w:i/>
                <w:iCs/>
                <w:sz w:val="16"/>
                <w:szCs w:val="16"/>
                <w:lang w:val="pl-PL"/>
              </w:rPr>
            </w:pPr>
          </w:p>
        </w:tc>
      </w:tr>
      <w:tr w:rsidR="00B71807" w:rsidRPr="00767038" w:rsidTr="00265F1A">
        <w:tc>
          <w:tcPr>
            <w:tcW w:w="2235" w:type="dxa"/>
          </w:tcPr>
          <w:p w:rsidR="00B71807" w:rsidRPr="00767038" w:rsidRDefault="009929E7" w:rsidP="00B033FD">
            <w:pPr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Koszty ogólne</w:t>
            </w:r>
          </w:p>
        </w:tc>
        <w:tc>
          <w:tcPr>
            <w:tcW w:w="1275" w:type="dxa"/>
          </w:tcPr>
          <w:p w:rsidR="00B71807" w:rsidRPr="00767038" w:rsidRDefault="00B71807" w:rsidP="00B033FD">
            <w:pPr>
              <w:jc w:val="left"/>
              <w:rPr>
                <w:i/>
                <w:iCs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 </w:t>
            </w:r>
          </w:p>
        </w:tc>
        <w:tc>
          <w:tcPr>
            <w:tcW w:w="5557" w:type="dxa"/>
          </w:tcPr>
          <w:p w:rsidR="00B71807" w:rsidRPr="00767038" w:rsidRDefault="00B71807" w:rsidP="00B033FD">
            <w:pPr>
              <w:jc w:val="left"/>
              <w:rPr>
                <w:i/>
                <w:iCs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Wskazać rodzaj wyliczenia</w:t>
            </w:r>
          </w:p>
        </w:tc>
      </w:tr>
    </w:tbl>
    <w:p w:rsidR="00681CEA" w:rsidRPr="00767038" w:rsidRDefault="00681CEA" w:rsidP="00376576">
      <w:pPr>
        <w:rPr>
          <w:lang w:val="pl-PL"/>
        </w:rPr>
      </w:pPr>
      <w:r w:rsidRPr="00767038">
        <w:rPr>
          <w:lang w:val="pl-PL"/>
        </w:rPr>
        <w:lastRenderedPageBreak/>
        <w:t>Jeżeli O</w:t>
      </w:r>
      <w:r w:rsidR="00315981" w:rsidRPr="00767038">
        <w:rPr>
          <w:lang w:val="pl-PL"/>
        </w:rPr>
        <w:t xml:space="preserve">perator </w:t>
      </w:r>
      <w:r w:rsidRPr="00767038">
        <w:rPr>
          <w:lang w:val="pl-PL"/>
        </w:rPr>
        <w:t>P</w:t>
      </w:r>
      <w:r w:rsidR="00315981" w:rsidRPr="00767038">
        <w:rPr>
          <w:lang w:val="pl-PL"/>
        </w:rPr>
        <w:t>rogramu</w:t>
      </w:r>
      <w:r w:rsidRPr="00767038">
        <w:rPr>
          <w:lang w:val="pl-PL"/>
        </w:rPr>
        <w:t xml:space="preserve"> </w:t>
      </w:r>
      <w:r w:rsidR="009929E7" w:rsidRPr="00767038">
        <w:rPr>
          <w:lang w:val="pl-PL"/>
        </w:rPr>
        <w:t>deleguje</w:t>
      </w:r>
      <w:r w:rsidRPr="00767038">
        <w:rPr>
          <w:lang w:val="pl-PL"/>
        </w:rPr>
        <w:t xml:space="preserve"> część zadań </w:t>
      </w:r>
      <w:r w:rsidR="009929E7" w:rsidRPr="00767038">
        <w:rPr>
          <w:lang w:val="pl-PL"/>
        </w:rPr>
        <w:t>innym instytucjom</w:t>
      </w:r>
      <w:r w:rsidRPr="00767038">
        <w:rPr>
          <w:lang w:val="pl-PL"/>
        </w:rPr>
        <w:t xml:space="preserve"> lub w oparciu o </w:t>
      </w:r>
      <w:proofErr w:type="spellStart"/>
      <w:r w:rsidR="009929E7"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 zadania zostaną rozdzielone między różne </w:t>
      </w:r>
      <w:r w:rsidR="009929E7" w:rsidRPr="00767038">
        <w:rPr>
          <w:lang w:val="pl-PL"/>
        </w:rPr>
        <w:t>instytucje</w:t>
      </w:r>
      <w:r w:rsidRPr="00767038">
        <w:rPr>
          <w:lang w:val="pl-PL"/>
        </w:rPr>
        <w:t xml:space="preserve">, budżet </w:t>
      </w:r>
      <w:r w:rsidR="009929E7" w:rsidRPr="00767038">
        <w:rPr>
          <w:lang w:val="pl-PL"/>
        </w:rPr>
        <w:t>powinien zostać podzielony na poszczególne instytucje</w:t>
      </w:r>
      <w:r w:rsidRPr="00767038">
        <w:rPr>
          <w:lang w:val="pl-PL"/>
        </w:rPr>
        <w:t xml:space="preserve">.  </w:t>
      </w:r>
      <w:r w:rsidR="00315981" w:rsidRPr="00767038">
        <w:rPr>
          <w:lang w:val="pl-PL"/>
        </w:rPr>
        <w:t xml:space="preserve">Operator </w:t>
      </w:r>
      <w:r w:rsidR="00A35E94" w:rsidRPr="00767038">
        <w:rPr>
          <w:lang w:val="pl-PL"/>
        </w:rPr>
        <w:t>Progr</w:t>
      </w:r>
      <w:r w:rsidR="00A35E94">
        <w:rPr>
          <w:lang w:val="pl-PL"/>
        </w:rPr>
        <w:t>a</w:t>
      </w:r>
      <w:r w:rsidR="00A35E94" w:rsidRPr="00767038">
        <w:rPr>
          <w:lang w:val="pl-PL"/>
        </w:rPr>
        <w:t>mu</w:t>
      </w:r>
      <w:r w:rsidR="00315981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powinien przedłożyć budżet w formie pliku Excel, </w:t>
      </w:r>
      <w:r w:rsidR="009929E7" w:rsidRPr="00767038">
        <w:rPr>
          <w:lang w:val="pl-PL"/>
        </w:rPr>
        <w:t>zawierającym</w:t>
      </w:r>
      <w:r w:rsidRPr="00767038">
        <w:rPr>
          <w:lang w:val="pl-PL"/>
        </w:rPr>
        <w:t xml:space="preserve"> dodatkowe wyliczenia. </w:t>
      </w:r>
    </w:p>
    <w:p w:rsidR="00681CEA" w:rsidRPr="00767038" w:rsidRDefault="009916FE" w:rsidP="00376576">
      <w:pPr>
        <w:rPr>
          <w:lang w:val="pl-PL"/>
        </w:rPr>
      </w:pPr>
      <w:r w:rsidRPr="00767038">
        <w:rPr>
          <w:lang w:val="pl-PL"/>
        </w:rPr>
        <w:t xml:space="preserve">Art. 8.10.2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określa maksymalną </w:t>
      </w:r>
      <w:r w:rsidR="009929E7" w:rsidRPr="00767038">
        <w:rPr>
          <w:lang w:val="pl-PL"/>
        </w:rPr>
        <w:t xml:space="preserve">wartość </w:t>
      </w:r>
      <w:r w:rsidRPr="00767038">
        <w:rPr>
          <w:lang w:val="pl-PL"/>
        </w:rPr>
        <w:t>kosztów zarządzania</w:t>
      </w:r>
      <w:r w:rsidR="009929E7" w:rsidRPr="00767038">
        <w:rPr>
          <w:lang w:val="pl-PL"/>
        </w:rPr>
        <w:t xml:space="preserve"> programem</w:t>
      </w:r>
      <w:r w:rsidRPr="00767038">
        <w:rPr>
          <w:lang w:val="pl-PL"/>
        </w:rPr>
        <w:t xml:space="preserve">, przy czym limit określa procent </w:t>
      </w:r>
      <w:r w:rsidR="009929E7" w:rsidRPr="00767038">
        <w:rPr>
          <w:lang w:val="pl-PL"/>
        </w:rPr>
        <w:t>od wszystkich wydatków</w:t>
      </w:r>
      <w:r w:rsidRPr="00767038">
        <w:rPr>
          <w:lang w:val="pl-PL"/>
        </w:rPr>
        <w:t xml:space="preserve"> kwalifikowalnych programu: </w:t>
      </w:r>
    </w:p>
    <w:p w:rsidR="00681CEA" w:rsidRPr="00767038" w:rsidRDefault="00697775" w:rsidP="00767038">
      <w:pPr>
        <w:pStyle w:val="Akapitzlist"/>
        <w:numPr>
          <w:ilvl w:val="0"/>
          <w:numId w:val="16"/>
        </w:numPr>
        <w:rPr>
          <w:lang w:val="pl-PL"/>
        </w:rPr>
      </w:pPr>
      <w:r w:rsidRPr="00767038">
        <w:rPr>
          <w:lang w:val="pl-PL"/>
        </w:rPr>
        <w:t xml:space="preserve">10% </w:t>
      </w:r>
      <w:r w:rsidR="009929E7" w:rsidRPr="00767038">
        <w:rPr>
          <w:lang w:val="pl-PL"/>
        </w:rPr>
        <w:t xml:space="preserve">od </w:t>
      </w:r>
      <w:r w:rsidRPr="00767038">
        <w:rPr>
          <w:lang w:val="pl-PL"/>
        </w:rPr>
        <w:t xml:space="preserve">pierwszych 10 mln euro; </w:t>
      </w:r>
    </w:p>
    <w:p w:rsidR="0042179F" w:rsidRPr="00767038" w:rsidRDefault="00697775" w:rsidP="00767038">
      <w:pPr>
        <w:pStyle w:val="Akapitzlist"/>
        <w:numPr>
          <w:ilvl w:val="0"/>
          <w:numId w:val="16"/>
        </w:numPr>
        <w:rPr>
          <w:lang w:val="pl-PL"/>
        </w:rPr>
      </w:pPr>
      <w:r w:rsidRPr="00767038">
        <w:rPr>
          <w:lang w:val="pl-PL"/>
        </w:rPr>
        <w:t xml:space="preserve">7% </w:t>
      </w:r>
      <w:r w:rsidR="009929E7" w:rsidRPr="00767038">
        <w:rPr>
          <w:lang w:val="pl-PL"/>
        </w:rPr>
        <w:t xml:space="preserve">od </w:t>
      </w:r>
      <w:r w:rsidRPr="00767038">
        <w:rPr>
          <w:lang w:val="pl-PL"/>
        </w:rPr>
        <w:t>kolejnych 40 mln euro;</w:t>
      </w:r>
    </w:p>
    <w:p w:rsidR="00681CEA" w:rsidRPr="00767038" w:rsidRDefault="00681CEA" w:rsidP="00767038">
      <w:pPr>
        <w:pStyle w:val="Akapitzlist"/>
        <w:numPr>
          <w:ilvl w:val="0"/>
          <w:numId w:val="16"/>
        </w:numPr>
        <w:rPr>
          <w:lang w:val="pl-PL"/>
        </w:rPr>
      </w:pPr>
      <w:r w:rsidRPr="00767038">
        <w:rPr>
          <w:lang w:val="pl-PL"/>
        </w:rPr>
        <w:t xml:space="preserve">5% </w:t>
      </w:r>
      <w:r w:rsidR="009929E7" w:rsidRPr="00767038">
        <w:rPr>
          <w:lang w:val="pl-PL"/>
        </w:rPr>
        <w:t xml:space="preserve">od </w:t>
      </w:r>
      <w:r w:rsidRPr="00767038">
        <w:rPr>
          <w:lang w:val="pl-PL"/>
        </w:rPr>
        <w:t>kolejnych 50 mln euro;</w:t>
      </w:r>
    </w:p>
    <w:p w:rsidR="00924C37" w:rsidRPr="00767038" w:rsidRDefault="00FB2938" w:rsidP="0076703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FAD10B6" wp14:editId="0D66EEC3">
                <wp:simplePos x="0" y="0"/>
                <wp:positionH relativeFrom="column">
                  <wp:posOffset>-81280</wp:posOffset>
                </wp:positionH>
                <wp:positionV relativeFrom="paragraph">
                  <wp:posOffset>272415</wp:posOffset>
                </wp:positionV>
                <wp:extent cx="5852160" cy="1012825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12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681CEA">
                            <w:pPr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Przykład:</w:t>
                            </w:r>
                          </w:p>
                          <w:p w:rsidR="00C522D7" w:rsidRPr="00265F1A" w:rsidRDefault="00C522D7" w:rsidP="00681CEA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Jeżeli całkowity budżet programu jest równy 56 mln euro, maksymalny budżet kosztów zarządzania wynosi 4,1 mln euro. </w:t>
                            </w:r>
                          </w:p>
                          <w:p w:rsidR="00C522D7" w:rsidRPr="00265F1A" w:rsidRDefault="00C522D7" w:rsidP="00681CEA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>Wyliczenie: 10 mln EUR x 10% + 40 mln EUR x 7% + 6 mln EUR x 5% = 4,1 mln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pt;margin-top:21.45pt;width:460.8pt;height:79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" fillcolor="white [3212]" strokecolor="black [3213]">
                <v:textbox>
                  <w:txbxContent>
                    <w:p w:rsidR="00C522D7" w:rsidRPr="00265F1A" w:rsidRDefault="00C522D7" w:rsidP="00681CEA">
                      <w:pPr>
                        <w:rPr>
                          <w:b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>Przykład:</w:t>
                      </w:r>
                    </w:p>
                    <w:p w:rsidR="00C522D7" w:rsidRPr="00265F1A" w:rsidRDefault="00C522D7" w:rsidP="00681CEA">
                      <w:pPr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 xml:space="preserve">Jeżeli całkowity budżet programu jest równy 56 mln euro, maksymalny budżet kosztów zarządzania wynosi 4,1 mln euro. </w:t>
                      </w:r>
                    </w:p>
                    <w:p w:rsidR="00C522D7" w:rsidRPr="00265F1A" w:rsidRDefault="00C522D7" w:rsidP="00681CEA">
                      <w:pPr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>Wyliczenie: 10 mln EUR x 10% + 40 mln EUR x 7% + 6 mln EUR x 5% = 4,1 mln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FD4" w:rsidRPr="00767038">
        <w:rPr>
          <w:lang w:val="pl-PL"/>
        </w:rPr>
        <w:t xml:space="preserve">4% </w:t>
      </w:r>
      <w:r w:rsidR="009929E7" w:rsidRPr="00767038">
        <w:rPr>
          <w:lang w:val="pl-PL"/>
        </w:rPr>
        <w:t xml:space="preserve">od </w:t>
      </w:r>
      <w:r w:rsidR="00E22FD4" w:rsidRPr="00767038">
        <w:rPr>
          <w:lang w:val="pl-PL"/>
        </w:rPr>
        <w:t xml:space="preserve">pozostałych całkowitych </w:t>
      </w:r>
      <w:r w:rsidR="009929E7" w:rsidRPr="00767038">
        <w:rPr>
          <w:lang w:val="pl-PL"/>
        </w:rPr>
        <w:t xml:space="preserve">kosztów </w:t>
      </w:r>
      <w:r w:rsidR="00E22FD4" w:rsidRPr="00767038">
        <w:rPr>
          <w:color w:val="000000"/>
          <w:lang w:val="pl-PL"/>
        </w:rPr>
        <w:t xml:space="preserve">kwalifikowalnych </w:t>
      </w:r>
      <w:r w:rsidR="009929E7" w:rsidRPr="00767038">
        <w:rPr>
          <w:color w:val="000000"/>
          <w:lang w:val="pl-PL"/>
        </w:rPr>
        <w:t>w ramach</w:t>
      </w:r>
      <w:r w:rsidR="00E22FD4" w:rsidRPr="00767038">
        <w:rPr>
          <w:color w:val="000000"/>
          <w:lang w:val="pl-PL"/>
        </w:rPr>
        <w:t xml:space="preserve"> programu.</w:t>
      </w:r>
    </w:p>
    <w:p w:rsidR="00681CEA" w:rsidRPr="00767038" w:rsidRDefault="00681CEA" w:rsidP="00C27B08">
      <w:pPr>
        <w:pStyle w:val="Nagwek3"/>
        <w:rPr>
          <w:lang w:val="pl-PL"/>
        </w:rPr>
      </w:pPr>
      <w:r w:rsidRPr="00767038">
        <w:rPr>
          <w:lang w:val="pl-PL"/>
        </w:rPr>
        <w:t>Dalsze szczegół</w:t>
      </w:r>
      <w:r w:rsidR="002B73E4" w:rsidRPr="00767038">
        <w:rPr>
          <w:lang w:val="pl-PL"/>
        </w:rPr>
        <w:t>owe informacje</w:t>
      </w:r>
      <w:r w:rsidRPr="00767038">
        <w:rPr>
          <w:lang w:val="pl-PL"/>
        </w:rPr>
        <w:t xml:space="preserve"> dotyczące </w:t>
      </w:r>
      <w:r w:rsidR="009929E7" w:rsidRPr="00767038">
        <w:rPr>
          <w:lang w:val="pl-PL"/>
        </w:rPr>
        <w:t>stru</w:t>
      </w:r>
      <w:r w:rsidR="00315981" w:rsidRPr="00767038">
        <w:rPr>
          <w:lang w:val="pl-PL"/>
        </w:rPr>
        <w:t>k</w:t>
      </w:r>
      <w:r w:rsidR="009929E7" w:rsidRPr="00767038">
        <w:rPr>
          <w:lang w:val="pl-PL"/>
        </w:rPr>
        <w:t>tur organizacyjnych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A3507C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i zarządzania programem </w:t>
      </w:r>
    </w:p>
    <w:p w:rsidR="001D2E3B" w:rsidRPr="00767038" w:rsidRDefault="009929E7" w:rsidP="00EB0DC5">
      <w:pPr>
        <w:rPr>
          <w:lang w:val="pl-PL"/>
        </w:rPr>
      </w:pPr>
      <w:r w:rsidRPr="00767038">
        <w:rPr>
          <w:lang w:val="pl-PL"/>
        </w:rPr>
        <w:t xml:space="preserve">Konieczne jest </w:t>
      </w:r>
      <w:r w:rsidR="00A35E94" w:rsidRPr="00767038">
        <w:rPr>
          <w:lang w:val="pl-PL"/>
        </w:rPr>
        <w:t>przed</w:t>
      </w:r>
      <w:r w:rsidR="00A35E94">
        <w:rPr>
          <w:lang w:val="pl-PL"/>
        </w:rPr>
        <w:t>łoż</w:t>
      </w:r>
      <w:r w:rsidR="00A35E94" w:rsidRPr="00767038">
        <w:rPr>
          <w:lang w:val="pl-PL"/>
        </w:rPr>
        <w:t>enie</w:t>
      </w:r>
      <w:r w:rsidR="00A35E94">
        <w:rPr>
          <w:lang w:val="pl-PL"/>
        </w:rPr>
        <w:t xml:space="preserve"> </w:t>
      </w:r>
      <w:r w:rsidR="00A35E94" w:rsidRPr="00767038">
        <w:rPr>
          <w:lang w:val="pl-PL"/>
        </w:rPr>
        <w:t>zarysu</w:t>
      </w:r>
      <w:r w:rsidR="00EB0DC5" w:rsidRPr="00767038">
        <w:rPr>
          <w:lang w:val="pl-PL"/>
        </w:rPr>
        <w:t xml:space="preserve"> </w:t>
      </w:r>
      <w:r w:rsidR="00315981" w:rsidRPr="00767038">
        <w:rPr>
          <w:lang w:val="pl-PL"/>
        </w:rPr>
        <w:t>struktur organizacyjnych</w:t>
      </w:r>
      <w:r w:rsidR="00EB0DC5" w:rsidRPr="00767038">
        <w:rPr>
          <w:lang w:val="pl-PL"/>
        </w:rPr>
        <w:t xml:space="preserve"> i podział zadań O</w:t>
      </w:r>
      <w:r w:rsidR="00315981" w:rsidRPr="00767038">
        <w:rPr>
          <w:lang w:val="pl-PL"/>
        </w:rPr>
        <w:t xml:space="preserve">peratora </w:t>
      </w:r>
      <w:r w:rsidR="00EB0DC5" w:rsidRPr="00767038">
        <w:rPr>
          <w:lang w:val="pl-PL"/>
        </w:rPr>
        <w:t>P</w:t>
      </w:r>
      <w:r w:rsidR="00315981" w:rsidRPr="00767038">
        <w:rPr>
          <w:lang w:val="pl-PL"/>
        </w:rPr>
        <w:t>rogramu</w:t>
      </w:r>
      <w:r w:rsidR="00EB0DC5" w:rsidRPr="00767038">
        <w:rPr>
          <w:lang w:val="pl-PL"/>
        </w:rPr>
        <w:t xml:space="preserve">. </w:t>
      </w:r>
      <w:r w:rsidR="00A35E94" w:rsidRPr="00767038">
        <w:rPr>
          <w:lang w:val="pl-PL"/>
        </w:rPr>
        <w:t>Operator Programu zapewnia wystarczając</w:t>
      </w:r>
      <w:r w:rsidR="00A35E94">
        <w:rPr>
          <w:lang w:val="pl-PL"/>
        </w:rPr>
        <w:t>y pod</w:t>
      </w:r>
      <w:r w:rsidR="00A35E94" w:rsidRPr="00767038">
        <w:rPr>
          <w:lang w:val="pl-PL"/>
        </w:rPr>
        <w:t>ział zadań, w szczególności niezależność i funkcjonalne rozdzielenie pomiędzy komórką odpowiedzialną za weryfikację poniesionych wydatków i zatwierdzenie płatności a innymi komórkami odpowiedzialnymi za wdrażanie programu (art. 5.6.1 lit. (l) Regulacji).</w:t>
      </w:r>
    </w:p>
    <w:p w:rsidR="00EB0DC5" w:rsidRPr="00767038" w:rsidRDefault="00315981" w:rsidP="00EB0DC5">
      <w:pPr>
        <w:rPr>
          <w:lang w:val="pl-PL"/>
        </w:rPr>
      </w:pPr>
      <w:r w:rsidRPr="00767038">
        <w:rPr>
          <w:lang w:val="pl-PL"/>
        </w:rPr>
        <w:t>N</w:t>
      </w:r>
      <w:r w:rsidR="00EB0DC5" w:rsidRPr="00767038">
        <w:rPr>
          <w:lang w:val="pl-PL"/>
        </w:rPr>
        <w:t>ależy także uwzględnić informacje na temat roli partnerów programów/</w:t>
      </w:r>
      <w:r w:rsidRPr="00767038">
        <w:rPr>
          <w:lang w:val="pl-PL"/>
        </w:rPr>
        <w:t>instytucji wdrażających, jeśli dotyczy</w:t>
      </w:r>
      <w:r w:rsidR="00EB0DC5" w:rsidRPr="00767038">
        <w:rPr>
          <w:lang w:val="pl-PL"/>
        </w:rPr>
        <w:t xml:space="preserve">. Art. 5.6 </w:t>
      </w:r>
      <w:r w:rsidR="005A62D3" w:rsidRPr="00767038">
        <w:rPr>
          <w:lang w:val="pl-PL"/>
        </w:rPr>
        <w:t>Regulacji</w:t>
      </w:r>
      <w:r w:rsidR="00EB0DC5" w:rsidRPr="00767038">
        <w:rPr>
          <w:lang w:val="pl-PL"/>
        </w:rPr>
        <w:t xml:space="preserve"> określa szczegółowo zakres odpowiedzialności </w:t>
      </w:r>
      <w:r w:rsidRPr="00767038">
        <w:rPr>
          <w:lang w:val="pl-PL"/>
        </w:rPr>
        <w:t>Operator</w:t>
      </w:r>
      <w:r w:rsidR="00EA588F">
        <w:rPr>
          <w:lang w:val="pl-PL"/>
        </w:rPr>
        <w:t>a</w:t>
      </w:r>
      <w:r w:rsidRPr="00767038">
        <w:rPr>
          <w:lang w:val="pl-PL"/>
        </w:rPr>
        <w:t xml:space="preserve"> Programu</w:t>
      </w:r>
      <w:r w:rsidR="00EB0DC5" w:rsidRPr="00767038">
        <w:rPr>
          <w:lang w:val="pl-PL"/>
        </w:rPr>
        <w:t xml:space="preserve"> i może </w:t>
      </w:r>
      <w:r w:rsidR="00A35E94" w:rsidRPr="00767038">
        <w:rPr>
          <w:lang w:val="pl-PL"/>
        </w:rPr>
        <w:t>służyć, jako</w:t>
      </w:r>
      <w:r w:rsidR="00EB0DC5" w:rsidRPr="00767038">
        <w:rPr>
          <w:lang w:val="pl-PL"/>
        </w:rPr>
        <w:t xml:space="preserve"> punkt wyjścia do przygotowania zarysu </w:t>
      </w:r>
      <w:r w:rsidRPr="00767038">
        <w:rPr>
          <w:lang w:val="pl-PL"/>
        </w:rPr>
        <w:t xml:space="preserve">struktur </w:t>
      </w:r>
      <w:r w:rsidR="00EB0DC5" w:rsidRPr="00767038">
        <w:rPr>
          <w:lang w:val="pl-PL"/>
        </w:rPr>
        <w:t>organizac</w:t>
      </w:r>
      <w:r w:rsidRPr="00767038">
        <w:rPr>
          <w:lang w:val="pl-PL"/>
        </w:rPr>
        <w:t>yjnych</w:t>
      </w:r>
      <w:r w:rsidR="00EB0DC5" w:rsidRPr="00767038">
        <w:rPr>
          <w:lang w:val="pl-PL"/>
        </w:rPr>
        <w:t xml:space="preserve">. Zarys </w:t>
      </w:r>
      <w:r w:rsidRPr="00767038">
        <w:rPr>
          <w:lang w:val="pl-PL"/>
        </w:rPr>
        <w:t xml:space="preserve">ten </w:t>
      </w:r>
      <w:r w:rsidR="00EB0DC5" w:rsidRPr="00767038">
        <w:rPr>
          <w:lang w:val="pl-PL"/>
        </w:rPr>
        <w:t xml:space="preserve">powinien także zawierać schemat organizacyjny i szczegółowe informacje dotyczące zatrudnienia. </w:t>
      </w:r>
    </w:p>
    <w:p w:rsidR="00681CEA" w:rsidRPr="00767038" w:rsidRDefault="00FB2938" w:rsidP="00376576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E25DBF" wp14:editId="473336FD">
                <wp:simplePos x="0" y="0"/>
                <wp:positionH relativeFrom="margin">
                  <wp:posOffset>2209800</wp:posOffset>
                </wp:positionH>
                <wp:positionV relativeFrom="paragraph">
                  <wp:posOffset>459105</wp:posOffset>
                </wp:positionV>
                <wp:extent cx="3495675" cy="1349375"/>
                <wp:effectExtent l="9525" t="11430" r="9525" b="10795"/>
                <wp:wrapSquare wrapText="bothSides"/>
                <wp:docPr id="26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349375"/>
                        </a:xfrm>
                        <a:prstGeom prst="wedgeRoundRectCallout">
                          <a:avLst>
                            <a:gd name="adj1" fmla="val -20829"/>
                            <a:gd name="adj2" fmla="val 3578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7926F5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Zgodnie z art. 5.6.1 lit. (l)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Regulacji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wymaga się jednoznacznego rozdzielenia funkcjonalnego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pomiędzy komórką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odpowiedzialn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ą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za weryfikację raportów finansowych/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poniesionych 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wydatków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a innymi komórkami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odpowiedzialn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ymi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za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wdrażanie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programu.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left:0;text-align:left;margin-left:174pt;margin-top:36.15pt;width:275.25pt;height:106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" adj="6301,18530" fillcolor="white [3201]" strokecolor="black [3200]" strokeweight="1pt">
                <v:textbox>
                  <w:txbxContent>
                    <w:p w:rsidR="00C522D7" w:rsidRPr="00265F1A" w:rsidRDefault="00C522D7" w:rsidP="007926F5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Zgodnie z art. 5.6.1 lit. (l)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Regulacji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wymaga się jednoznacznego rozdzielenia funkcjonalnego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pomiędzy komórką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odpowiedzialn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ą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za weryfikację raportów finansowych/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poniesionych 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wydatków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a innymi komórkami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odpowiedzialn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ymi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za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wdrażanie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programu.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81" w:rsidRPr="00767038">
        <w:rPr>
          <w:lang w:val="pl-PL"/>
        </w:rPr>
        <w:t>Operator Programu</w:t>
      </w:r>
      <w:r w:rsidR="00EB0DC5" w:rsidRPr="00767038">
        <w:rPr>
          <w:lang w:val="pl-PL"/>
        </w:rPr>
        <w:t xml:space="preserve"> przedstawia plan weryfikacji wydatków w ramach projektów, w tym wydatki partnerów projektów z </w:t>
      </w:r>
      <w:r w:rsidR="00BA5A30" w:rsidRPr="00767038">
        <w:rPr>
          <w:lang w:val="pl-PL"/>
        </w:rPr>
        <w:t>Państw-D</w:t>
      </w:r>
      <w:r w:rsidR="00EB0DC5" w:rsidRPr="00767038">
        <w:rPr>
          <w:lang w:val="pl-PL"/>
        </w:rPr>
        <w:t>arczyńc</w:t>
      </w:r>
      <w:r w:rsidR="00BA5A30" w:rsidRPr="00767038">
        <w:rPr>
          <w:lang w:val="pl-PL"/>
        </w:rPr>
        <w:t>ów</w:t>
      </w:r>
      <w:r w:rsidR="00EB0DC5" w:rsidRPr="00767038">
        <w:rPr>
          <w:lang w:val="pl-PL"/>
        </w:rPr>
        <w:t xml:space="preserve">. Istotne jest, aby </w:t>
      </w:r>
      <w:r w:rsidR="00315981" w:rsidRPr="00767038">
        <w:rPr>
          <w:lang w:val="pl-PL"/>
        </w:rPr>
        <w:t>Operator</w:t>
      </w:r>
      <w:r w:rsidR="00254B07" w:rsidRPr="00767038">
        <w:rPr>
          <w:lang w:val="pl-PL"/>
        </w:rPr>
        <w:t>zy</w:t>
      </w:r>
      <w:r w:rsidR="00315981" w:rsidRPr="00767038">
        <w:rPr>
          <w:lang w:val="pl-PL"/>
        </w:rPr>
        <w:t xml:space="preserve"> Program</w:t>
      </w:r>
      <w:r w:rsidR="00254B07" w:rsidRPr="00767038">
        <w:rPr>
          <w:lang w:val="pl-PL"/>
        </w:rPr>
        <w:t>ów</w:t>
      </w:r>
      <w:r w:rsidR="00EB0DC5" w:rsidRPr="00767038">
        <w:rPr>
          <w:lang w:val="pl-PL"/>
        </w:rPr>
        <w:t xml:space="preserve"> mieli jasną wizję, w jaki sposób będą weryfikować wydatki. BMF promuje podejście oparte na próbkowaniu i </w:t>
      </w:r>
      <w:r w:rsidR="00254B07" w:rsidRPr="00767038">
        <w:rPr>
          <w:lang w:val="pl-PL"/>
        </w:rPr>
        <w:t xml:space="preserve">zastosowaniu analizy </w:t>
      </w:r>
      <w:r w:rsidR="00EB0DC5" w:rsidRPr="00767038">
        <w:rPr>
          <w:lang w:val="pl-PL"/>
        </w:rPr>
        <w:t>ryzyk</w:t>
      </w:r>
      <w:r w:rsidR="00254B07" w:rsidRPr="00767038">
        <w:rPr>
          <w:lang w:val="pl-PL"/>
        </w:rPr>
        <w:t>a</w:t>
      </w:r>
      <w:r w:rsidR="00EB0DC5" w:rsidRPr="00767038">
        <w:rPr>
          <w:lang w:val="pl-PL"/>
        </w:rPr>
        <w:t xml:space="preserve"> (</w:t>
      </w:r>
      <w:r w:rsidR="00254B07" w:rsidRPr="00767038">
        <w:rPr>
          <w:lang w:val="pl-PL"/>
        </w:rPr>
        <w:t>dalsze informacje w części</w:t>
      </w:r>
      <w:r w:rsidR="00EB0DC5" w:rsidRPr="00767038">
        <w:rPr>
          <w:lang w:val="pl-PL"/>
        </w:rPr>
        <w:t xml:space="preserve"> </w:t>
      </w:r>
      <w:r w:rsidR="00D24873" w:rsidRPr="00767038">
        <w:rPr>
          <w:lang w:val="pl-PL"/>
        </w:rPr>
        <w:fldChar w:fldCharType="begin"/>
      </w:r>
      <w:r w:rsidR="00D24873" w:rsidRPr="00767038">
        <w:rPr>
          <w:lang w:val="pl-PL"/>
        </w:rPr>
        <w:instrText xml:space="preserve"> REF _Ref461527835 \r \h  \* MERGEFORMAT </w:instrText>
      </w:r>
      <w:r w:rsidR="00D24873" w:rsidRPr="00767038">
        <w:rPr>
          <w:lang w:val="pl-PL"/>
        </w:rPr>
      </w:r>
      <w:r w:rsidR="00D24873" w:rsidRPr="00767038">
        <w:rPr>
          <w:lang w:val="pl-PL"/>
        </w:rPr>
        <w:fldChar w:fldCharType="separate"/>
      </w:r>
      <w:r w:rsidR="00112756" w:rsidRPr="00767038">
        <w:rPr>
          <w:lang w:val="pl-PL"/>
        </w:rPr>
        <w:t>3.3</w:t>
      </w:r>
      <w:r w:rsidR="00D24873" w:rsidRPr="00767038">
        <w:rPr>
          <w:lang w:val="pl-PL"/>
        </w:rPr>
        <w:fldChar w:fldCharType="end"/>
      </w:r>
      <w:r w:rsidR="002B73E4" w:rsidRPr="00767038">
        <w:rPr>
          <w:lang w:val="pl-PL"/>
        </w:rPr>
        <w:t xml:space="preserve"> </w:t>
      </w:r>
      <w:r w:rsidR="00254B07" w:rsidRPr="00767038">
        <w:rPr>
          <w:lang w:val="pl-PL"/>
        </w:rPr>
        <w:t>Wytycznych</w:t>
      </w:r>
      <w:r w:rsidR="00EB0DC5" w:rsidRPr="00767038">
        <w:rPr>
          <w:lang w:val="pl-PL"/>
        </w:rPr>
        <w:t>).</w:t>
      </w:r>
    </w:p>
    <w:p w:rsidR="007926F5" w:rsidRPr="00767038" w:rsidRDefault="00315981" w:rsidP="00376576">
      <w:pPr>
        <w:rPr>
          <w:lang w:val="pl-PL"/>
        </w:rPr>
      </w:pPr>
      <w:r w:rsidRPr="00767038">
        <w:rPr>
          <w:lang w:val="pl-PL"/>
        </w:rPr>
        <w:t>Operator Programu</w:t>
      </w:r>
      <w:r w:rsidR="003420F5" w:rsidRPr="00767038">
        <w:rPr>
          <w:lang w:val="pl-PL"/>
        </w:rPr>
        <w:t xml:space="preserve"> dostarcza informacje, w jaki sposób zamierza dokonywać płatności na projekty. Modele płatności mogą być oparte na </w:t>
      </w:r>
      <w:r w:rsidR="00254B07" w:rsidRPr="00767038">
        <w:rPr>
          <w:lang w:val="pl-PL"/>
        </w:rPr>
        <w:t>zaliczkowym</w:t>
      </w:r>
      <w:r w:rsidR="003420F5" w:rsidRPr="00767038">
        <w:rPr>
          <w:lang w:val="pl-PL"/>
        </w:rPr>
        <w:t xml:space="preserve"> finansowaniu prognozowanych wydatków, płatności</w:t>
      </w:r>
      <w:r w:rsidR="002B73E4" w:rsidRPr="00767038">
        <w:rPr>
          <w:lang w:val="pl-PL"/>
        </w:rPr>
        <w:t>ach</w:t>
      </w:r>
      <w:r w:rsidR="003420F5" w:rsidRPr="00767038">
        <w:rPr>
          <w:lang w:val="pl-PL"/>
        </w:rPr>
        <w:t xml:space="preserve"> po otrzymaniu wykazu poniesionych wydatków, osiągnięciu kamieni milowych w projektach lub uprzednio zdefiniowanych harmonogramach płatności. </w:t>
      </w:r>
      <w:r w:rsidRPr="00767038">
        <w:rPr>
          <w:lang w:val="pl-PL"/>
        </w:rPr>
        <w:t>Operator Programu</w:t>
      </w:r>
      <w:r w:rsidR="003420F5" w:rsidRPr="00767038">
        <w:rPr>
          <w:lang w:val="pl-PL"/>
        </w:rPr>
        <w:t xml:space="preserve"> jest zobowiązany do zapewnienia, że </w:t>
      </w:r>
      <w:r w:rsidR="00254B07" w:rsidRPr="00767038">
        <w:rPr>
          <w:lang w:val="pl-PL"/>
        </w:rPr>
        <w:t xml:space="preserve">wypłaty transz </w:t>
      </w:r>
      <w:r w:rsidR="003420F5" w:rsidRPr="00767038">
        <w:rPr>
          <w:lang w:val="pl-PL"/>
        </w:rPr>
        <w:t xml:space="preserve">dofinansowania </w:t>
      </w:r>
      <w:r w:rsidR="00254B07" w:rsidRPr="00767038">
        <w:rPr>
          <w:lang w:val="pl-PL"/>
        </w:rPr>
        <w:t xml:space="preserve">dla </w:t>
      </w:r>
      <w:r w:rsidR="003420F5" w:rsidRPr="00767038">
        <w:rPr>
          <w:lang w:val="pl-PL"/>
        </w:rPr>
        <w:t xml:space="preserve">projektów będą dokonywane terminowo (art. 5.6.1 lit. (f) </w:t>
      </w:r>
      <w:r w:rsidR="005A62D3" w:rsidRPr="00767038">
        <w:rPr>
          <w:lang w:val="pl-PL"/>
        </w:rPr>
        <w:t>Regulacji</w:t>
      </w:r>
      <w:r w:rsidR="003420F5" w:rsidRPr="00767038">
        <w:rPr>
          <w:lang w:val="pl-PL"/>
        </w:rPr>
        <w:t xml:space="preserve">), tj. </w:t>
      </w:r>
      <w:r w:rsidRPr="00767038">
        <w:rPr>
          <w:lang w:val="pl-PL"/>
        </w:rPr>
        <w:t>Operator Programu</w:t>
      </w:r>
      <w:r w:rsidR="003420F5" w:rsidRPr="00767038">
        <w:rPr>
          <w:lang w:val="pl-PL"/>
        </w:rPr>
        <w:t xml:space="preserve"> powinien zapewnić wystarczające finansowanie projektów w trakcie </w:t>
      </w:r>
      <w:r w:rsidR="00254B07" w:rsidRPr="00767038">
        <w:rPr>
          <w:lang w:val="pl-PL"/>
        </w:rPr>
        <w:t>wdrażania</w:t>
      </w:r>
      <w:r w:rsidR="003420F5" w:rsidRPr="00767038">
        <w:rPr>
          <w:lang w:val="pl-PL"/>
        </w:rPr>
        <w:t xml:space="preserve">, skutecznie unikając wszelkich problemów z płynnością finansową. </w:t>
      </w:r>
    </w:p>
    <w:p w:rsidR="00681CEA" w:rsidRPr="00767038" w:rsidRDefault="00681CEA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 xml:space="preserve">Informacje związane z projektem </w:t>
      </w:r>
    </w:p>
    <w:p w:rsidR="005468B0" w:rsidRPr="00767038" w:rsidRDefault="00315981" w:rsidP="00061FA2">
      <w:pPr>
        <w:ind w:right="-8"/>
        <w:rPr>
          <w:lang w:val="pl-PL"/>
        </w:rPr>
      </w:pPr>
      <w:r w:rsidRPr="00767038">
        <w:rPr>
          <w:lang w:val="pl-PL"/>
        </w:rPr>
        <w:t>Operator Programu</w:t>
      </w:r>
      <w:r w:rsidR="00681CEA" w:rsidRPr="00767038">
        <w:rPr>
          <w:lang w:val="pl-PL"/>
        </w:rPr>
        <w:t xml:space="preserve"> będzie zobowiązany do dostarczenia informacji na temat poziomów dofinansowania projektów. Przewidywany poziom dofinansowania projektów wraz ze zmianami między wnioskodawcami należy uwzględnić w </w:t>
      </w:r>
      <w:r w:rsidR="00191248" w:rsidRPr="00767038">
        <w:rPr>
          <w:lang w:val="pl-PL"/>
        </w:rPr>
        <w:t>Umow</w:t>
      </w:r>
      <w:r w:rsidR="00EA588F">
        <w:rPr>
          <w:lang w:val="pl-PL"/>
        </w:rPr>
        <w:t>ie</w:t>
      </w:r>
      <w:r w:rsidR="00191248" w:rsidRPr="00767038">
        <w:rPr>
          <w:lang w:val="pl-PL"/>
        </w:rPr>
        <w:t xml:space="preserve"> w sprawie programu</w:t>
      </w:r>
      <w:r w:rsidR="00681CEA" w:rsidRPr="00767038">
        <w:rPr>
          <w:lang w:val="pl-PL"/>
        </w:rPr>
        <w:t xml:space="preserve">. </w:t>
      </w:r>
      <w:r w:rsidR="00681CEA" w:rsidRPr="00767038">
        <w:rPr>
          <w:szCs w:val="20"/>
          <w:lang w:val="pl-PL"/>
        </w:rPr>
        <w:t xml:space="preserve">Zasadniczo nie zezwala się na łączenie </w:t>
      </w:r>
      <w:r w:rsidR="006324B3" w:rsidRPr="00767038">
        <w:rPr>
          <w:szCs w:val="20"/>
          <w:lang w:val="pl-PL"/>
        </w:rPr>
        <w:t>źródeł finansowania</w:t>
      </w:r>
      <w:r w:rsidR="00681CEA" w:rsidRPr="00767038">
        <w:rPr>
          <w:szCs w:val="20"/>
          <w:lang w:val="pl-PL"/>
        </w:rPr>
        <w:t xml:space="preserve"> na poziomie projektów, jeżeli programy są finansowane z</w:t>
      </w:r>
      <w:r w:rsidR="00061FA2" w:rsidRPr="00767038">
        <w:rPr>
          <w:szCs w:val="20"/>
          <w:lang w:val="pl-PL"/>
        </w:rPr>
        <w:t xml:space="preserve"> dwóch Mechanizmów Finansowych. </w:t>
      </w:r>
      <w:r w:rsidR="00681CEA" w:rsidRPr="00767038">
        <w:rPr>
          <w:szCs w:val="20"/>
          <w:lang w:val="pl-PL"/>
        </w:rPr>
        <w:t>Każdy projekt powinien być finansowany albo z Mechanizmu Finansowego EOG, albo Norweskiego Mechanizmu Finansowego.</w:t>
      </w:r>
    </w:p>
    <w:p w:rsidR="00654C2A" w:rsidRPr="00767038" w:rsidRDefault="00C30E56" w:rsidP="00376576">
      <w:pPr>
        <w:rPr>
          <w:lang w:val="pl-PL"/>
        </w:rPr>
      </w:pPr>
      <w:r w:rsidRPr="00767038">
        <w:rPr>
          <w:lang w:val="pl-PL"/>
        </w:rPr>
        <w:t xml:space="preserve">Jeżeli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zamierza rozszerzyć (np. przekroczyć maksymalny poziom 10% kosztów kwalifikowalnych w przypadku nabycia gruntów/nieruchomości) lub ograniczyć kwalifikowalność kosztów kwalifikowalnych (np. wykluczyć </w:t>
      </w:r>
      <w:r w:rsidR="009929E7" w:rsidRPr="00767038">
        <w:rPr>
          <w:lang w:val="pl-PL"/>
        </w:rPr>
        <w:t>koszty ogólne</w:t>
      </w:r>
      <w:r w:rsidRPr="00767038">
        <w:rPr>
          <w:lang w:val="pl-PL"/>
        </w:rPr>
        <w:t xml:space="preserve">), musi o tym poinformować i uzasadnić, ponieważ wymaga to zatwierdzenia przez darczyńcę i </w:t>
      </w:r>
      <w:r w:rsidR="006324B3" w:rsidRPr="00767038">
        <w:rPr>
          <w:lang w:val="pl-PL"/>
        </w:rPr>
        <w:t xml:space="preserve">musi zostać </w:t>
      </w:r>
      <w:r w:rsidRPr="00767038">
        <w:rPr>
          <w:lang w:val="pl-PL"/>
        </w:rPr>
        <w:t>jednoznaczn</w:t>
      </w:r>
      <w:r w:rsidR="006324B3" w:rsidRPr="00767038">
        <w:rPr>
          <w:lang w:val="pl-PL"/>
        </w:rPr>
        <w:t>ie</w:t>
      </w:r>
      <w:r w:rsidRPr="00767038">
        <w:rPr>
          <w:lang w:val="pl-PL"/>
        </w:rPr>
        <w:t xml:space="preserve"> określ</w:t>
      </w:r>
      <w:r w:rsidR="000B26AA" w:rsidRPr="00767038">
        <w:rPr>
          <w:lang w:val="pl-PL"/>
        </w:rPr>
        <w:t>one</w:t>
      </w:r>
      <w:r w:rsidR="00420862" w:rsidRPr="00767038">
        <w:rPr>
          <w:lang w:val="pl-PL"/>
        </w:rPr>
        <w:t xml:space="preserve"> w Umowie w sprawie programu</w:t>
      </w:r>
      <w:r w:rsidRPr="00767038">
        <w:rPr>
          <w:lang w:val="pl-PL"/>
        </w:rPr>
        <w:t>.</w:t>
      </w:r>
    </w:p>
    <w:p w:rsidR="0065795B" w:rsidRPr="00767038" w:rsidRDefault="00681CEA" w:rsidP="00376576">
      <w:pPr>
        <w:rPr>
          <w:lang w:val="pl-PL"/>
        </w:rPr>
      </w:pPr>
      <w:r w:rsidRPr="00767038">
        <w:rPr>
          <w:lang w:val="pl-PL"/>
        </w:rPr>
        <w:t xml:space="preserve">Beneficjenci projektów powinni dostarczyć szczegółowy budżet dla każdego </w:t>
      </w:r>
      <w:r w:rsidR="00366936" w:rsidRPr="00767038">
        <w:rPr>
          <w:lang w:val="pl-PL"/>
        </w:rPr>
        <w:t>wstępnie</w:t>
      </w:r>
      <w:r w:rsidRPr="00767038">
        <w:rPr>
          <w:lang w:val="pl-PL"/>
        </w:rPr>
        <w:t xml:space="preserve"> zdefiniowanego projektu, o którym mowa w </w:t>
      </w:r>
      <w:r w:rsidR="000B26AA" w:rsidRPr="00767038">
        <w:rPr>
          <w:lang w:val="pl-PL"/>
        </w:rPr>
        <w:t>K</w:t>
      </w:r>
      <w:r w:rsidRPr="00767038">
        <w:rPr>
          <w:lang w:val="pl-PL"/>
        </w:rPr>
        <w:t>oncepcji programu.</w:t>
      </w:r>
    </w:p>
    <w:p w:rsidR="00767038" w:rsidRPr="00767038" w:rsidRDefault="00767038" w:rsidP="00376576">
      <w:pPr>
        <w:rPr>
          <w:lang w:val="pl-PL"/>
        </w:rPr>
      </w:pPr>
    </w:p>
    <w:p w:rsidR="00C5514B" w:rsidRPr="00767038" w:rsidRDefault="00971EE2" w:rsidP="002E5F37">
      <w:pPr>
        <w:pStyle w:val="Nagwek2"/>
        <w:rPr>
          <w:lang w:val="pl-PL"/>
        </w:rPr>
      </w:pPr>
      <w:bookmarkStart w:id="18" w:name="_Toc498508026"/>
      <w:bookmarkStart w:id="19" w:name="_Toc498499980"/>
      <w:bookmarkStart w:id="20" w:name="_Toc498498867"/>
      <w:bookmarkStart w:id="21" w:name="_Ref464482320"/>
      <w:bookmarkStart w:id="22" w:name="_Ref462300509"/>
      <w:bookmarkStart w:id="23" w:name="_Toc505238503"/>
      <w:bookmarkEnd w:id="18"/>
      <w:bookmarkEnd w:id="19"/>
      <w:bookmarkEnd w:id="20"/>
      <w:r w:rsidRPr="00767038">
        <w:rPr>
          <w:iCs/>
          <w:lang w:val="pl-PL"/>
        </w:rPr>
        <w:t xml:space="preserve">Poziomy dofinansowania i współfinansowanie (art. 6.4 </w:t>
      </w:r>
      <w:r w:rsidR="005A62D3" w:rsidRPr="00767038">
        <w:rPr>
          <w:iCs/>
          <w:lang w:val="pl-PL"/>
        </w:rPr>
        <w:t>Regulacji</w:t>
      </w:r>
      <w:r w:rsidRPr="00767038">
        <w:rPr>
          <w:iCs/>
          <w:lang w:val="pl-PL"/>
        </w:rPr>
        <w:t>)</w:t>
      </w:r>
      <w:bookmarkEnd w:id="21"/>
      <w:bookmarkEnd w:id="22"/>
      <w:bookmarkEnd w:id="23"/>
    </w:p>
    <w:p w:rsidR="00CA07FE" w:rsidRPr="00767038" w:rsidRDefault="00943801" w:rsidP="00376576">
      <w:pPr>
        <w:rPr>
          <w:lang w:val="pl-PL"/>
        </w:rPr>
      </w:pPr>
      <w:r w:rsidRPr="00767038">
        <w:rPr>
          <w:lang w:val="pl-PL"/>
        </w:rPr>
        <w:t>Dla wszystkich programów i projektów należy dostarczyć informacji n</w:t>
      </w:r>
      <w:r w:rsidR="009D048A" w:rsidRPr="00767038">
        <w:rPr>
          <w:lang w:val="pl-PL"/>
        </w:rPr>
        <w:t xml:space="preserve">a temat poziomu dofinansowania. </w:t>
      </w:r>
      <w:r w:rsidRPr="00767038">
        <w:rPr>
          <w:lang w:val="pl-PL"/>
        </w:rPr>
        <w:t xml:space="preserve">Poziomy dofinansowania wylicza </w:t>
      </w:r>
      <w:r w:rsidR="00A35E94" w:rsidRPr="00767038">
        <w:rPr>
          <w:lang w:val="pl-PL"/>
        </w:rPr>
        <w:t>się, jako</w:t>
      </w:r>
      <w:r w:rsidRPr="00767038">
        <w:rPr>
          <w:lang w:val="pl-PL"/>
        </w:rPr>
        <w:t xml:space="preserve"> procent całkowitych kwalifikowal</w:t>
      </w:r>
      <w:r w:rsidR="009D048A" w:rsidRPr="00767038">
        <w:rPr>
          <w:lang w:val="pl-PL"/>
        </w:rPr>
        <w:t>nych wydatków. Współfinansowanie</w:t>
      </w:r>
      <w:r w:rsidRPr="00767038">
        <w:rPr>
          <w:lang w:val="pl-PL"/>
        </w:rPr>
        <w:t xml:space="preserve"> powinno mieć zasadniczo formę gotówki, w tym przekazów elektronicznych. Istnieją jednak dwa wyjątki od współfinansowania w formie gotówki:</w:t>
      </w:r>
    </w:p>
    <w:p w:rsidR="004C38E2" w:rsidRPr="00767038" w:rsidRDefault="009D048A" w:rsidP="00767038">
      <w:pPr>
        <w:pStyle w:val="Akapitzlist"/>
        <w:numPr>
          <w:ilvl w:val="0"/>
          <w:numId w:val="12"/>
        </w:numPr>
        <w:rPr>
          <w:lang w:val="pl-PL"/>
        </w:rPr>
      </w:pPr>
      <w:r w:rsidRPr="00767038">
        <w:rPr>
          <w:lang w:val="pl-PL"/>
        </w:rPr>
        <w:t>w</w:t>
      </w:r>
      <w:r w:rsidR="00CA07FE" w:rsidRPr="00767038">
        <w:rPr>
          <w:lang w:val="pl-PL"/>
        </w:rPr>
        <w:t xml:space="preserve"> przypadku projektów, w których </w:t>
      </w:r>
      <w:r w:rsidR="005D60ED" w:rsidRPr="00767038">
        <w:rPr>
          <w:lang w:val="pl-PL"/>
        </w:rPr>
        <w:t xml:space="preserve">beneficjentem </w:t>
      </w:r>
      <w:r w:rsidR="00CA07FE" w:rsidRPr="00767038">
        <w:rPr>
          <w:lang w:val="pl-PL"/>
        </w:rPr>
        <w:t>jest organizacj</w:t>
      </w:r>
      <w:r w:rsidR="005D60ED" w:rsidRPr="00767038">
        <w:rPr>
          <w:lang w:val="pl-PL"/>
        </w:rPr>
        <w:t>a</w:t>
      </w:r>
      <w:r w:rsidR="00CA07FE" w:rsidRPr="00767038">
        <w:rPr>
          <w:lang w:val="pl-PL"/>
        </w:rPr>
        <w:t xml:space="preserve"> pozarządow</w:t>
      </w:r>
      <w:r w:rsidR="005D60ED" w:rsidRPr="00767038">
        <w:rPr>
          <w:lang w:val="pl-PL"/>
        </w:rPr>
        <w:t>a</w:t>
      </w:r>
      <w:r w:rsidR="00CA07FE" w:rsidRPr="00767038">
        <w:rPr>
          <w:lang w:val="pl-PL"/>
        </w:rPr>
        <w:t xml:space="preserve"> (NGO) lub partner społeczny, wkład rzeczowy w </w:t>
      </w:r>
      <w:r w:rsidR="00A35E94" w:rsidRPr="00767038">
        <w:rPr>
          <w:lang w:val="pl-PL"/>
        </w:rPr>
        <w:t>postaci wolontariatu</w:t>
      </w:r>
      <w:r w:rsidR="00CA07FE" w:rsidRPr="00767038">
        <w:rPr>
          <w:lang w:val="pl-PL"/>
        </w:rPr>
        <w:t xml:space="preserve"> może stanowić do 50% współfinansowania wymaganego </w:t>
      </w:r>
      <w:r w:rsidR="005D60ED" w:rsidRPr="00767038">
        <w:rPr>
          <w:lang w:val="pl-PL"/>
        </w:rPr>
        <w:t>dla</w:t>
      </w:r>
      <w:r w:rsidR="00CA07FE" w:rsidRPr="00767038">
        <w:rPr>
          <w:lang w:val="pl-PL"/>
        </w:rPr>
        <w:t xml:space="preserve"> projektu w ramach programu. W wyjątkowych przypadkach i pod warunkiem zatwierdzenia przez KMF/</w:t>
      </w:r>
      <w:r w:rsidR="00C604D9" w:rsidRPr="00767038">
        <w:rPr>
          <w:lang w:val="pl-PL"/>
        </w:rPr>
        <w:t>NMSZ</w:t>
      </w:r>
      <w:r w:rsidR="00CA07FE" w:rsidRPr="00767038">
        <w:rPr>
          <w:lang w:val="pl-PL"/>
        </w:rPr>
        <w:t xml:space="preserve"> wkład rzeczowy w </w:t>
      </w:r>
      <w:r w:rsidR="005D60ED" w:rsidRPr="00767038">
        <w:rPr>
          <w:lang w:val="pl-PL"/>
        </w:rPr>
        <w:t xml:space="preserve">postaci </w:t>
      </w:r>
      <w:r w:rsidR="00CA07FE" w:rsidRPr="00767038">
        <w:rPr>
          <w:lang w:val="pl-PL"/>
        </w:rPr>
        <w:t xml:space="preserve">wolontariatu może stanowić do 100% wymaganego współfinansowania; </w:t>
      </w:r>
    </w:p>
    <w:p w:rsidR="001663DF" w:rsidRPr="00767038" w:rsidRDefault="009D048A" w:rsidP="00767038">
      <w:pPr>
        <w:pStyle w:val="Akapitzlist"/>
        <w:numPr>
          <w:ilvl w:val="0"/>
          <w:numId w:val="12"/>
        </w:numPr>
        <w:rPr>
          <w:lang w:val="pl-PL"/>
        </w:rPr>
      </w:pPr>
      <w:r w:rsidRPr="00767038">
        <w:rPr>
          <w:lang w:val="pl-PL"/>
        </w:rPr>
        <w:t>w</w:t>
      </w:r>
      <w:r w:rsidR="00CA07FE" w:rsidRPr="00767038">
        <w:rPr>
          <w:lang w:val="pl-PL"/>
        </w:rPr>
        <w:t xml:space="preserve"> przypadku </w:t>
      </w:r>
      <w:r w:rsidR="00A35E94" w:rsidRPr="00767038">
        <w:rPr>
          <w:lang w:val="pl-PL"/>
        </w:rPr>
        <w:t>projektów partnerskich</w:t>
      </w:r>
      <w:r w:rsidR="00CA07FE" w:rsidRPr="00767038">
        <w:rPr>
          <w:lang w:val="pl-PL"/>
        </w:rPr>
        <w:t xml:space="preserve"> z darczyńcami w obszarze „Badania” wkład rzeczowy w formie pracy może stanowić do 100% współfinansowania wymaganego dla projektu.</w:t>
      </w:r>
    </w:p>
    <w:p w:rsidR="00CA07FE" w:rsidRPr="00767038" w:rsidRDefault="00CA07FE" w:rsidP="00376576">
      <w:pPr>
        <w:rPr>
          <w:lang w:val="pl-PL"/>
        </w:rPr>
      </w:pPr>
      <w:r w:rsidRPr="00767038">
        <w:rPr>
          <w:lang w:val="pl-PL"/>
        </w:rPr>
        <w:t xml:space="preserve">W obu przypadkach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określi odpowiednie </w:t>
      </w:r>
      <w:r w:rsidR="005D60ED" w:rsidRPr="00767038">
        <w:rPr>
          <w:lang w:val="pl-PL"/>
        </w:rPr>
        <w:t xml:space="preserve">stawki </w:t>
      </w:r>
      <w:r w:rsidRPr="00767038">
        <w:rPr>
          <w:lang w:val="pl-PL"/>
        </w:rPr>
        <w:t xml:space="preserve">jednostkowe dla pracy na zasadzie wolontariatu lub pracy, </w:t>
      </w:r>
      <w:r w:rsidR="00A15DC2" w:rsidRPr="00767038">
        <w:rPr>
          <w:lang w:val="pl-PL"/>
        </w:rPr>
        <w:t xml:space="preserve">zgodne ze stawkami zwyczajowo wypłacanymi za taką pracę w Państwie-Beneficjencie, w tym obowiązkowe składki </w:t>
      </w:r>
      <w:r w:rsidRPr="00767038">
        <w:rPr>
          <w:lang w:val="pl-PL"/>
        </w:rPr>
        <w:t>na ubezpieczeni</w:t>
      </w:r>
      <w:r w:rsidR="00A15DC2" w:rsidRPr="00767038">
        <w:rPr>
          <w:lang w:val="pl-PL"/>
        </w:rPr>
        <w:t>a</w:t>
      </w:r>
      <w:r w:rsidRPr="00767038">
        <w:rPr>
          <w:lang w:val="pl-PL"/>
        </w:rPr>
        <w:t xml:space="preserve"> społeczne (art. 6.4.6/7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). </w:t>
      </w:r>
      <w:r w:rsidR="00A15DC2" w:rsidRPr="00767038">
        <w:rPr>
          <w:lang w:val="pl-PL"/>
        </w:rPr>
        <w:t xml:space="preserve">Stawki </w:t>
      </w:r>
      <w:r w:rsidRPr="00767038">
        <w:rPr>
          <w:lang w:val="pl-PL"/>
        </w:rPr>
        <w:t>jednostkowe można korygować w trakcie realizacji programu w celu uwzględnienia zmian w wynagrodzeniach.</w:t>
      </w:r>
    </w:p>
    <w:p w:rsidR="001663DF" w:rsidRPr="00767038" w:rsidRDefault="001663DF" w:rsidP="001663DF">
      <w:pPr>
        <w:rPr>
          <w:lang w:val="pl-PL"/>
        </w:rPr>
      </w:pPr>
      <w:r w:rsidRPr="00767038">
        <w:rPr>
          <w:lang w:val="pl-PL"/>
        </w:rPr>
        <w:t xml:space="preserve">Minimalną i maksymalną kwotę dofinansowania dla projektów i poziomy dofinansowania na poziomie projektów </w:t>
      </w:r>
      <w:r w:rsidR="00A15DC2" w:rsidRPr="00767038">
        <w:rPr>
          <w:lang w:val="pl-PL"/>
        </w:rPr>
        <w:t xml:space="preserve">należy </w:t>
      </w:r>
      <w:r w:rsidRPr="00767038">
        <w:rPr>
          <w:lang w:val="pl-PL"/>
        </w:rPr>
        <w:t>określ</w:t>
      </w:r>
      <w:r w:rsidR="00A15DC2" w:rsidRPr="00767038">
        <w:rPr>
          <w:lang w:val="pl-PL"/>
        </w:rPr>
        <w:t>ić</w:t>
      </w:r>
      <w:r w:rsidRPr="00767038">
        <w:rPr>
          <w:lang w:val="pl-PL"/>
        </w:rPr>
        <w:t xml:space="preserve"> w </w:t>
      </w:r>
      <w:r w:rsidR="00A15DC2" w:rsidRPr="00767038">
        <w:rPr>
          <w:lang w:val="pl-PL"/>
        </w:rPr>
        <w:t>Umowie w sprawie programu</w:t>
      </w:r>
      <w:r w:rsidRPr="00767038">
        <w:rPr>
          <w:lang w:val="pl-PL"/>
        </w:rPr>
        <w:t xml:space="preserve">. Kwota dofinansowania </w:t>
      </w:r>
      <w:r w:rsidR="00A15DC2" w:rsidRPr="00767038">
        <w:rPr>
          <w:lang w:val="pl-PL"/>
        </w:rPr>
        <w:t xml:space="preserve">wnioskowana </w:t>
      </w:r>
      <w:r w:rsidRPr="00767038">
        <w:rPr>
          <w:lang w:val="pl-PL"/>
        </w:rPr>
        <w:t xml:space="preserve">w ramach programu powinna być zasadniczo wyższa niż 1.000.000 euro i nie niższa niż 200.000 euro. </w:t>
      </w:r>
    </w:p>
    <w:p w:rsidR="001663DF" w:rsidRPr="00767038" w:rsidRDefault="001663DF" w:rsidP="001663DF">
      <w:pPr>
        <w:rPr>
          <w:lang w:val="pl-PL"/>
        </w:rPr>
      </w:pPr>
      <w:r w:rsidRPr="00767038">
        <w:rPr>
          <w:lang w:val="pl-PL"/>
        </w:rPr>
        <w:t xml:space="preserve">Artykuł 6.4.9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określa jednak przypadk</w:t>
      </w:r>
      <w:r w:rsidR="009D048A" w:rsidRPr="00767038">
        <w:rPr>
          <w:lang w:val="pl-PL"/>
        </w:rPr>
        <w:t>i</w:t>
      </w:r>
      <w:r w:rsidRPr="00767038">
        <w:rPr>
          <w:lang w:val="pl-PL"/>
        </w:rPr>
        <w:t xml:space="preserve">, w których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może zaproponować próg niższy niż 200.000 euro</w:t>
      </w:r>
      <w:r w:rsidR="00A15DC2" w:rsidRPr="00767038">
        <w:rPr>
          <w:lang w:val="pl-PL"/>
        </w:rPr>
        <w:t>:</w:t>
      </w:r>
    </w:p>
    <w:p w:rsidR="001663DF" w:rsidRPr="00767038" w:rsidRDefault="00A15DC2" w:rsidP="00767038">
      <w:pPr>
        <w:pStyle w:val="Akapitzlist"/>
        <w:numPr>
          <w:ilvl w:val="0"/>
          <w:numId w:val="35"/>
        </w:numPr>
        <w:spacing w:before="0" w:after="160"/>
        <w:rPr>
          <w:lang w:val="pl-PL"/>
        </w:rPr>
      </w:pPr>
      <w:r w:rsidRPr="00767038">
        <w:rPr>
          <w:lang w:val="pl-PL"/>
        </w:rPr>
        <w:t>p</w:t>
      </w:r>
      <w:r w:rsidR="001663DF" w:rsidRPr="00767038">
        <w:rPr>
          <w:lang w:val="pl-PL"/>
        </w:rPr>
        <w:t xml:space="preserve">rogramy w </w:t>
      </w:r>
      <w:r w:rsidRPr="00767038">
        <w:rPr>
          <w:lang w:val="pl-PL"/>
        </w:rPr>
        <w:t xml:space="preserve">ramach </w:t>
      </w:r>
      <w:r w:rsidR="001663DF" w:rsidRPr="00767038">
        <w:rPr>
          <w:lang w:val="pl-PL"/>
        </w:rPr>
        <w:t>obszar</w:t>
      </w:r>
      <w:r w:rsidRPr="00767038">
        <w:rPr>
          <w:lang w:val="pl-PL"/>
        </w:rPr>
        <w:t>ów</w:t>
      </w:r>
      <w:r w:rsidR="001663DF" w:rsidRPr="00767038">
        <w:rPr>
          <w:lang w:val="pl-PL"/>
        </w:rPr>
        <w:t xml:space="preserve"> program</w:t>
      </w:r>
      <w:r w:rsidRPr="00767038">
        <w:rPr>
          <w:lang w:val="pl-PL"/>
        </w:rPr>
        <w:t>owych</w:t>
      </w:r>
      <w:r w:rsidR="001663DF" w:rsidRPr="00767038">
        <w:rPr>
          <w:lang w:val="pl-PL"/>
        </w:rPr>
        <w:t xml:space="preserve">: „Edukacja, stypendia, </w:t>
      </w:r>
      <w:r w:rsidRPr="00767038">
        <w:rPr>
          <w:lang w:val="pl-PL"/>
        </w:rPr>
        <w:t>przygotowanie do zawodu</w:t>
      </w:r>
      <w:r w:rsidR="001663DF" w:rsidRPr="00767038">
        <w:rPr>
          <w:lang w:val="pl-PL"/>
        </w:rPr>
        <w:t xml:space="preserve"> i przedsiębiorczość młodzieży”, „Przedsiębiorczość </w:t>
      </w:r>
      <w:r w:rsidRPr="00767038">
        <w:rPr>
          <w:lang w:val="pl-PL"/>
        </w:rPr>
        <w:t>kulturalna</w:t>
      </w:r>
      <w:r w:rsidR="001663DF" w:rsidRPr="00767038">
        <w:rPr>
          <w:lang w:val="pl-PL"/>
        </w:rPr>
        <w:t>, dziedzictwo kulturowe i współpraca kultur</w:t>
      </w:r>
      <w:r w:rsidRPr="00767038">
        <w:rPr>
          <w:lang w:val="pl-PL"/>
        </w:rPr>
        <w:t>alna</w:t>
      </w:r>
      <w:r w:rsidR="001663DF" w:rsidRPr="00767038">
        <w:rPr>
          <w:lang w:val="pl-PL"/>
        </w:rPr>
        <w:t>”, „Społeczeństwo obywatelskie”, „Dialog społeczny - godna praca” i „Azyl i migracje”;</w:t>
      </w:r>
    </w:p>
    <w:p w:rsidR="001663DF" w:rsidRPr="00767038" w:rsidRDefault="00A15DC2" w:rsidP="00767038">
      <w:pPr>
        <w:pStyle w:val="Akapitzlist"/>
        <w:numPr>
          <w:ilvl w:val="0"/>
          <w:numId w:val="35"/>
        </w:numPr>
        <w:spacing w:before="0" w:after="160"/>
        <w:rPr>
          <w:lang w:val="pl-PL"/>
        </w:rPr>
      </w:pPr>
      <w:r w:rsidRPr="00767038">
        <w:rPr>
          <w:lang w:val="pl-PL"/>
        </w:rPr>
        <w:t>fundusz małych grantów</w:t>
      </w:r>
      <w:r w:rsidR="001663DF" w:rsidRPr="00767038">
        <w:rPr>
          <w:lang w:val="pl-PL"/>
        </w:rPr>
        <w:t xml:space="preserve">, o których mowa w art. 6.6 </w:t>
      </w:r>
      <w:r w:rsidR="005A62D3" w:rsidRPr="00767038">
        <w:rPr>
          <w:lang w:val="pl-PL"/>
        </w:rPr>
        <w:t>Regulacji</w:t>
      </w:r>
      <w:r w:rsidR="001663DF" w:rsidRPr="00767038">
        <w:rPr>
          <w:lang w:val="pl-PL"/>
        </w:rPr>
        <w:t xml:space="preserve"> i Fundusz </w:t>
      </w:r>
      <w:r w:rsidRPr="00767038">
        <w:rPr>
          <w:lang w:val="pl-PL"/>
        </w:rPr>
        <w:t>Współpracy Dwustronnej</w:t>
      </w:r>
      <w:r w:rsidR="001663DF" w:rsidRPr="00767038">
        <w:rPr>
          <w:lang w:val="pl-PL"/>
        </w:rPr>
        <w:t>;</w:t>
      </w:r>
    </w:p>
    <w:p w:rsidR="001663DF" w:rsidRPr="00767038" w:rsidRDefault="00A15DC2" w:rsidP="00767038">
      <w:pPr>
        <w:pStyle w:val="Akapitzlist"/>
        <w:numPr>
          <w:ilvl w:val="0"/>
          <w:numId w:val="35"/>
        </w:numPr>
        <w:spacing w:before="0" w:after="160"/>
        <w:rPr>
          <w:lang w:val="pl-PL"/>
        </w:rPr>
      </w:pPr>
      <w:r w:rsidRPr="00767038">
        <w:rPr>
          <w:lang w:val="pl-PL"/>
        </w:rPr>
        <w:lastRenderedPageBreak/>
        <w:t>s</w:t>
      </w:r>
      <w:r w:rsidR="001663DF" w:rsidRPr="00767038">
        <w:rPr>
          <w:lang w:val="pl-PL"/>
        </w:rPr>
        <w:t xml:space="preserve">typendia; </w:t>
      </w:r>
    </w:p>
    <w:p w:rsidR="001663DF" w:rsidRPr="00767038" w:rsidRDefault="00A15DC2" w:rsidP="00767038">
      <w:pPr>
        <w:pStyle w:val="Akapitzlist"/>
        <w:numPr>
          <w:ilvl w:val="0"/>
          <w:numId w:val="35"/>
        </w:numPr>
        <w:spacing w:before="0" w:after="160"/>
        <w:rPr>
          <w:lang w:val="pl-PL"/>
        </w:rPr>
      </w:pPr>
      <w:r w:rsidRPr="00767038">
        <w:rPr>
          <w:lang w:val="pl-PL"/>
        </w:rPr>
        <w:t>p</w:t>
      </w:r>
      <w:r w:rsidR="001663DF" w:rsidRPr="00767038">
        <w:rPr>
          <w:lang w:val="pl-PL"/>
        </w:rPr>
        <w:t xml:space="preserve">rojekty </w:t>
      </w:r>
      <w:r w:rsidRPr="00767038">
        <w:rPr>
          <w:lang w:val="pl-PL"/>
        </w:rPr>
        <w:t>integracji</w:t>
      </w:r>
      <w:r w:rsidR="001663DF" w:rsidRPr="00767038">
        <w:rPr>
          <w:lang w:val="pl-PL"/>
        </w:rPr>
        <w:t xml:space="preserve"> Romów.</w:t>
      </w:r>
    </w:p>
    <w:p w:rsidR="001663DF" w:rsidRPr="00767038" w:rsidRDefault="001663DF" w:rsidP="0080763B">
      <w:pPr>
        <w:rPr>
          <w:lang w:val="pl-PL"/>
        </w:rPr>
      </w:pPr>
      <w:r w:rsidRPr="00767038">
        <w:rPr>
          <w:lang w:val="pl-PL"/>
        </w:rPr>
        <w:t>Projekty, które nie należą do przypadków określony</w:t>
      </w:r>
      <w:r w:rsidR="0080763B" w:rsidRPr="00767038">
        <w:rPr>
          <w:lang w:val="pl-PL"/>
        </w:rPr>
        <w:t xml:space="preserve">ch powyżej, mogą być traktowane </w:t>
      </w:r>
      <w:r w:rsidRPr="00767038">
        <w:rPr>
          <w:lang w:val="pl-PL"/>
        </w:rPr>
        <w:t xml:space="preserve">jako wyjątek, o ile należą one do dedykowanego </w:t>
      </w:r>
      <w:r w:rsidR="00A15DC2" w:rsidRPr="00767038">
        <w:rPr>
          <w:lang w:val="pl-PL"/>
        </w:rPr>
        <w:t xml:space="preserve">komponentu </w:t>
      </w:r>
      <w:r w:rsidRPr="00767038">
        <w:rPr>
          <w:lang w:val="pl-PL"/>
        </w:rPr>
        <w:t>związanego z wyjątkami określony</w:t>
      </w:r>
      <w:r w:rsidR="001D0157" w:rsidRPr="00767038">
        <w:rPr>
          <w:lang w:val="pl-PL"/>
        </w:rPr>
        <w:t xml:space="preserve">mi w art. 6.4.9 </w:t>
      </w:r>
      <w:r w:rsidR="005A62D3" w:rsidRPr="00767038">
        <w:rPr>
          <w:lang w:val="pl-PL"/>
        </w:rPr>
        <w:t>Regulacji</w:t>
      </w:r>
      <w:r w:rsidR="001D0157" w:rsidRPr="00767038">
        <w:rPr>
          <w:lang w:val="pl-PL"/>
        </w:rPr>
        <w:t>.</w:t>
      </w:r>
    </w:p>
    <w:p w:rsidR="00CA07FE" w:rsidRPr="00767038" w:rsidRDefault="00CA07FE" w:rsidP="00C27B08">
      <w:pPr>
        <w:pStyle w:val="Nagwek3"/>
        <w:rPr>
          <w:lang w:val="pl-PL"/>
        </w:rPr>
      </w:pPr>
      <w:r w:rsidRPr="00767038">
        <w:rPr>
          <w:lang w:val="pl-PL"/>
        </w:rPr>
        <w:t>Poziom programów</w:t>
      </w:r>
    </w:p>
    <w:p w:rsidR="00DA1D29" w:rsidRPr="00767038" w:rsidRDefault="00CA07FE" w:rsidP="00376576">
      <w:pPr>
        <w:rPr>
          <w:lang w:val="pl-PL"/>
        </w:rPr>
      </w:pPr>
      <w:r w:rsidRPr="00767038">
        <w:rPr>
          <w:lang w:val="pl-PL"/>
        </w:rPr>
        <w:t>Na poziomie programów wkład z Mechanizmów Finansowych na lata 2014-2021 nie powinien przekraczać 85% wydatków kwalifikowalnych programu, z wyłączeniem wyjątków określonych w art. 6.4.1</w:t>
      </w:r>
      <w:r w:rsidRPr="00767038">
        <w:rPr>
          <w:rStyle w:val="Odwoanieprzypisudolnego"/>
          <w:lang w:val="pl-PL"/>
        </w:rPr>
        <w:footnoteReference w:id="3"/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. BMF będzie wypłacać część dofinansowania zaproponowanych wydatków, chyba że wydatki </w:t>
      </w:r>
      <w:r w:rsidR="0080763B" w:rsidRPr="00767038">
        <w:rPr>
          <w:lang w:val="pl-PL"/>
        </w:rPr>
        <w:t>zgłoszone</w:t>
      </w:r>
      <w:r w:rsidRPr="00767038">
        <w:rPr>
          <w:lang w:val="pl-PL"/>
        </w:rPr>
        <w:t xml:space="preserve"> przez </w:t>
      </w:r>
      <w:r w:rsidR="00315981" w:rsidRPr="00767038">
        <w:rPr>
          <w:lang w:val="pl-PL"/>
        </w:rPr>
        <w:t>Operator</w:t>
      </w:r>
      <w:r w:rsidR="00191248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zostaną uznane za nieuzasadnione. Płatności na programy będą wyliczane w oparciu o poziomy dofinansowania określone na poziomie </w:t>
      </w:r>
      <w:r w:rsidR="00191248" w:rsidRPr="00767038">
        <w:rPr>
          <w:lang w:val="pl-PL"/>
        </w:rPr>
        <w:t xml:space="preserve">linii </w:t>
      </w:r>
      <w:r w:rsidR="0080763B" w:rsidRPr="00767038">
        <w:rPr>
          <w:lang w:val="pl-PL"/>
        </w:rPr>
        <w:t xml:space="preserve">budżetowych (zgodnie z </w:t>
      </w:r>
      <w:r w:rsidR="00191248" w:rsidRPr="00767038">
        <w:rPr>
          <w:lang w:val="pl-PL"/>
        </w:rPr>
        <w:t>Umową w sprawie programu</w:t>
      </w:r>
      <w:r w:rsidR="0080763B" w:rsidRPr="00767038">
        <w:rPr>
          <w:lang w:val="pl-PL"/>
        </w:rPr>
        <w:t xml:space="preserve">). </w:t>
      </w:r>
      <w:r w:rsidRPr="00767038">
        <w:rPr>
          <w:lang w:val="pl-PL"/>
        </w:rPr>
        <w:t xml:space="preserve">Zastosowanie ma zasada finansowania proporcjonalnego (pro rata), co oznacza, </w:t>
      </w:r>
      <w:r w:rsidRPr="00767038">
        <w:rPr>
          <w:szCs w:val="20"/>
          <w:lang w:val="pl-PL"/>
        </w:rPr>
        <w:t>że</w:t>
      </w:r>
      <w:r w:rsidR="00191248" w:rsidRPr="00767038">
        <w:rPr>
          <w:szCs w:val="20"/>
          <w:lang w:val="pl-PL"/>
        </w:rPr>
        <w:t xml:space="preserve"> </w:t>
      </w:r>
      <w:r w:rsidR="00191248" w:rsidRPr="00767038">
        <w:rPr>
          <w:rStyle w:val="hps"/>
          <w:rFonts w:cs="Calibri"/>
          <w:color w:val="000000"/>
          <w:szCs w:val="20"/>
          <w:lang w:val="pl-PL"/>
        </w:rPr>
        <w:t>współfinansowanie przekazywane przez podmiot lub podmioty za nie odpowiedzialne jest wypłacone w ciągu miesiąca od przekazania dofinansowania na rzecz programu przez BMF</w:t>
      </w:r>
      <w:r w:rsidRPr="00767038">
        <w:rPr>
          <w:szCs w:val="20"/>
          <w:lang w:val="pl-PL"/>
        </w:rPr>
        <w:t xml:space="preserve"> </w:t>
      </w:r>
      <w:r w:rsidRPr="00767038">
        <w:rPr>
          <w:lang w:val="pl-PL"/>
        </w:rPr>
        <w:t xml:space="preserve">(art. 9.1.5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).</w:t>
      </w:r>
    </w:p>
    <w:p w:rsidR="00732478" w:rsidRPr="00767038" w:rsidRDefault="00732478" w:rsidP="0073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noProof/>
          <w:color w:val="1F4E79" w:themeColor="accent1" w:themeShade="80"/>
          <w:lang w:val="pl-PL"/>
        </w:rPr>
      </w:pPr>
      <w:r w:rsidRPr="00767038">
        <w:rPr>
          <w:noProof/>
          <w:color w:val="1F4E79" w:themeColor="accent1" w:themeShade="80"/>
          <w:lang w:val="pl-PL"/>
        </w:rPr>
        <w:t>Poziom dofinansowania programu = Dofinansowanie programu/Wydatki kwalifikowalne programu</w:t>
      </w:r>
    </w:p>
    <w:p w:rsidR="00732478" w:rsidRPr="00767038" w:rsidRDefault="00732478" w:rsidP="00376576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5"/>
        <w:gridCol w:w="1664"/>
        <w:gridCol w:w="1875"/>
        <w:gridCol w:w="1840"/>
        <w:gridCol w:w="1860"/>
        <w:gridCol w:w="22"/>
      </w:tblGrid>
      <w:tr w:rsidR="00732478" w:rsidRPr="00767038" w:rsidTr="000065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452"/>
        </w:trPr>
        <w:tc>
          <w:tcPr>
            <w:tcW w:w="52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2478" w:rsidRPr="00767038" w:rsidRDefault="00732478" w:rsidP="0000658E">
            <w:pPr>
              <w:rPr>
                <w:sz w:val="16"/>
                <w:lang w:val="pl-PL"/>
              </w:rPr>
            </w:pPr>
            <w:r w:rsidRPr="00767038">
              <w:rPr>
                <w:bCs/>
                <w:lang w:val="pl-PL"/>
              </w:rPr>
              <w:t xml:space="preserve">Przykład: </w:t>
            </w:r>
            <w:r w:rsidRPr="00767038">
              <w:rPr>
                <w:bCs/>
                <w:sz w:val="16"/>
                <w:lang w:val="pl-PL"/>
              </w:rPr>
              <w:t>Poziom dofinansowania programu</w:t>
            </w: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732478" w:rsidRPr="00767038" w:rsidRDefault="00732478" w:rsidP="0000658E">
            <w:pPr>
              <w:rPr>
                <w:sz w:val="16"/>
                <w:lang w:val="pl-PL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2478" w:rsidRPr="00767038" w:rsidRDefault="00732478" w:rsidP="0000658E">
            <w:pPr>
              <w:jc w:val="right"/>
              <w:rPr>
                <w:b w:val="0"/>
                <w:sz w:val="16"/>
                <w:lang w:val="pl-PL"/>
              </w:rPr>
            </w:pPr>
            <w:r w:rsidRPr="00767038">
              <w:rPr>
                <w:b w:val="0"/>
                <w:sz w:val="16"/>
                <w:lang w:val="pl-PL"/>
              </w:rPr>
              <w:t>85,0000%</w:t>
            </w:r>
          </w:p>
        </w:tc>
      </w:tr>
      <w:tr w:rsidR="00732478" w:rsidRPr="00767038" w:rsidTr="0000658E">
        <w:trPr>
          <w:gridAfter w:val="1"/>
          <w:wAfter w:w="22" w:type="dxa"/>
          <w:trHeight w:val="407"/>
        </w:trPr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2478" w:rsidRPr="00767038" w:rsidRDefault="00732478" w:rsidP="0000658E">
            <w:pPr>
              <w:rPr>
                <w:sz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2478" w:rsidRPr="00767038" w:rsidRDefault="00732478" w:rsidP="0000658E">
            <w:pPr>
              <w:rPr>
                <w:sz w:val="16"/>
                <w:lang w:val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2478" w:rsidRPr="00767038" w:rsidRDefault="00732478" w:rsidP="0000658E">
            <w:pPr>
              <w:rPr>
                <w:sz w:val="16"/>
                <w:lang w:val="pl-PL"/>
              </w:rPr>
            </w:pPr>
          </w:p>
        </w:tc>
        <w:tc>
          <w:tcPr>
            <w:tcW w:w="18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2478" w:rsidRPr="00767038" w:rsidRDefault="00732478" w:rsidP="0000658E">
            <w:pPr>
              <w:rPr>
                <w:sz w:val="16"/>
                <w:lang w:val="pl-PL"/>
              </w:rPr>
            </w:pPr>
          </w:p>
        </w:tc>
      </w:tr>
      <w:tr w:rsidR="00732478" w:rsidRPr="00767038" w:rsidTr="0000658E">
        <w:trPr>
          <w:gridAfter w:val="1"/>
          <w:wAfter w:w="22" w:type="dxa"/>
          <w:trHeight w:val="780"/>
        </w:trPr>
        <w:tc>
          <w:tcPr>
            <w:tcW w:w="3399" w:type="dxa"/>
            <w:gridSpan w:val="2"/>
            <w:shd w:val="clear" w:color="auto" w:fill="D9D9D9" w:themeFill="background1" w:themeFillShade="D9"/>
            <w:vAlign w:val="center"/>
          </w:tcPr>
          <w:p w:rsidR="00732478" w:rsidRPr="00767038" w:rsidRDefault="00732478" w:rsidP="0000658E">
            <w:pPr>
              <w:jc w:val="center"/>
              <w:rPr>
                <w:b/>
                <w:sz w:val="16"/>
                <w:lang w:val="pl-PL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732478" w:rsidRPr="00767038" w:rsidRDefault="00732478" w:rsidP="0000658E">
            <w:pPr>
              <w:jc w:val="center"/>
              <w:rPr>
                <w:b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Uprzednie zaliczki i płatności okresowe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732478" w:rsidRPr="00767038" w:rsidRDefault="00732478" w:rsidP="0000658E">
            <w:pPr>
              <w:jc w:val="center"/>
              <w:rPr>
                <w:b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Płatność okresowa w tym okresie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32478" w:rsidRPr="00767038" w:rsidRDefault="00732478" w:rsidP="0000658E">
            <w:pPr>
              <w:jc w:val="center"/>
              <w:rPr>
                <w:b/>
                <w:sz w:val="16"/>
                <w:lang w:val="pl-PL"/>
              </w:rPr>
            </w:pPr>
            <w:r w:rsidRPr="00767038">
              <w:rPr>
                <w:b/>
                <w:bCs/>
                <w:sz w:val="16"/>
                <w:lang w:val="pl-PL"/>
              </w:rPr>
              <w:t>Dotychczasowa całkowita płatność</w:t>
            </w:r>
          </w:p>
        </w:tc>
      </w:tr>
      <w:tr w:rsidR="00732478" w:rsidRPr="00767038" w:rsidTr="0000658E">
        <w:trPr>
          <w:trHeight w:val="407"/>
        </w:trPr>
        <w:tc>
          <w:tcPr>
            <w:tcW w:w="3399" w:type="dxa"/>
            <w:gridSpan w:val="2"/>
            <w:vAlign w:val="center"/>
          </w:tcPr>
          <w:p w:rsidR="00732478" w:rsidRPr="00767038" w:rsidRDefault="00732478" w:rsidP="0000658E">
            <w:pPr>
              <w:jc w:val="lef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Wydatki kwalifikowalne</w:t>
            </w:r>
          </w:p>
        </w:tc>
        <w:tc>
          <w:tcPr>
            <w:tcW w:w="1874" w:type="dxa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8.930.775 euro</w:t>
            </w:r>
          </w:p>
        </w:tc>
        <w:tc>
          <w:tcPr>
            <w:tcW w:w="1840" w:type="dxa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60.000 euro</w:t>
            </w:r>
          </w:p>
        </w:tc>
        <w:tc>
          <w:tcPr>
            <w:tcW w:w="1860" w:type="dxa"/>
            <w:gridSpan w:val="2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8.990.775 euro</w:t>
            </w:r>
          </w:p>
        </w:tc>
      </w:tr>
      <w:tr w:rsidR="00732478" w:rsidRPr="00767038" w:rsidTr="0000658E">
        <w:trPr>
          <w:trHeight w:val="407"/>
        </w:trPr>
        <w:tc>
          <w:tcPr>
            <w:tcW w:w="8974" w:type="dxa"/>
            <w:gridSpan w:val="6"/>
            <w:shd w:val="clear" w:color="auto" w:fill="D9D9D9" w:themeFill="background1" w:themeFillShade="D9"/>
            <w:vAlign w:val="center"/>
          </w:tcPr>
          <w:p w:rsidR="00732478" w:rsidRPr="00767038" w:rsidRDefault="00732478" w:rsidP="0000658E">
            <w:pPr>
              <w:jc w:val="lef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Wkład (w euro)</w:t>
            </w:r>
          </w:p>
        </w:tc>
      </w:tr>
      <w:tr w:rsidR="00732478" w:rsidRPr="00767038" w:rsidTr="0000658E">
        <w:trPr>
          <w:trHeight w:val="407"/>
        </w:trPr>
        <w:tc>
          <w:tcPr>
            <w:tcW w:w="3399" w:type="dxa"/>
            <w:gridSpan w:val="2"/>
            <w:vAlign w:val="center"/>
          </w:tcPr>
          <w:p w:rsidR="00732478" w:rsidRPr="00767038" w:rsidRDefault="00732478" w:rsidP="0000658E">
            <w:pPr>
              <w:jc w:val="lef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Mechanizm Finansowy EOG/Norweski Mechanizm Finansowy</w:t>
            </w:r>
          </w:p>
        </w:tc>
        <w:tc>
          <w:tcPr>
            <w:tcW w:w="1874" w:type="dxa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7.591.158 euro</w:t>
            </w:r>
          </w:p>
        </w:tc>
        <w:tc>
          <w:tcPr>
            <w:tcW w:w="1840" w:type="dxa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51.000 euro</w:t>
            </w:r>
          </w:p>
        </w:tc>
        <w:tc>
          <w:tcPr>
            <w:tcW w:w="1860" w:type="dxa"/>
            <w:gridSpan w:val="2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7.642.158 euro</w:t>
            </w:r>
          </w:p>
        </w:tc>
      </w:tr>
      <w:tr w:rsidR="00732478" w:rsidRPr="00767038" w:rsidTr="0000658E">
        <w:trPr>
          <w:trHeight w:val="407"/>
        </w:trPr>
        <w:tc>
          <w:tcPr>
            <w:tcW w:w="3399" w:type="dxa"/>
            <w:gridSpan w:val="2"/>
            <w:vAlign w:val="center"/>
          </w:tcPr>
          <w:p w:rsidR="00732478" w:rsidRPr="00767038" w:rsidRDefault="00732478" w:rsidP="0000658E">
            <w:pPr>
              <w:jc w:val="lef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Współfinansowanie</w:t>
            </w:r>
          </w:p>
        </w:tc>
        <w:tc>
          <w:tcPr>
            <w:tcW w:w="1874" w:type="dxa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1.339.617 euro</w:t>
            </w:r>
          </w:p>
        </w:tc>
        <w:tc>
          <w:tcPr>
            <w:tcW w:w="1840" w:type="dxa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9.000 euro</w:t>
            </w:r>
          </w:p>
        </w:tc>
        <w:tc>
          <w:tcPr>
            <w:tcW w:w="1860" w:type="dxa"/>
            <w:gridSpan w:val="2"/>
            <w:vAlign w:val="center"/>
          </w:tcPr>
          <w:p w:rsidR="00732478" w:rsidRPr="00767038" w:rsidRDefault="00732478" w:rsidP="0000658E">
            <w:pPr>
              <w:jc w:val="right"/>
              <w:rPr>
                <w:sz w:val="16"/>
                <w:lang w:val="pl-PL"/>
              </w:rPr>
            </w:pPr>
            <w:r w:rsidRPr="00767038">
              <w:rPr>
                <w:sz w:val="16"/>
                <w:lang w:val="pl-PL"/>
              </w:rPr>
              <w:t>1.348.617 euro</w:t>
            </w:r>
          </w:p>
        </w:tc>
      </w:tr>
    </w:tbl>
    <w:p w:rsidR="00732478" w:rsidRPr="00767038" w:rsidRDefault="00732478" w:rsidP="00376576">
      <w:pPr>
        <w:rPr>
          <w:lang w:val="pl-PL"/>
        </w:rPr>
      </w:pPr>
    </w:p>
    <w:p w:rsidR="00767038" w:rsidRPr="00767038" w:rsidRDefault="00767038" w:rsidP="00376576">
      <w:pPr>
        <w:rPr>
          <w:lang w:val="pl-PL"/>
        </w:rPr>
      </w:pPr>
    </w:p>
    <w:p w:rsidR="00CA07FE" w:rsidRPr="00767038" w:rsidRDefault="00CA07FE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>Poziom projektów</w:t>
      </w:r>
    </w:p>
    <w:p w:rsidR="00CA07FE" w:rsidRPr="00767038" w:rsidRDefault="00CA07FE" w:rsidP="00E74DEC">
      <w:pPr>
        <w:keepNext/>
        <w:keepLines/>
        <w:rPr>
          <w:lang w:val="pl-PL"/>
        </w:rPr>
      </w:pPr>
      <w:r w:rsidRPr="00767038">
        <w:rPr>
          <w:lang w:val="pl-PL"/>
        </w:rPr>
        <w:t xml:space="preserve">Na poziomie projektów poziom dofinansowania wylicza się jako procent całkowitych kwalifikowalnych wydatków </w:t>
      </w:r>
      <w:r w:rsidR="00191248" w:rsidRPr="00767038">
        <w:rPr>
          <w:lang w:val="pl-PL"/>
        </w:rPr>
        <w:t xml:space="preserve">w ramach </w:t>
      </w:r>
      <w:r w:rsidRPr="00767038">
        <w:rPr>
          <w:lang w:val="pl-PL"/>
        </w:rPr>
        <w:t xml:space="preserve">projektu zgodnie z propozycją zawartą w </w:t>
      </w:r>
      <w:r w:rsidR="00191248" w:rsidRPr="00767038">
        <w:rPr>
          <w:lang w:val="pl-PL"/>
        </w:rPr>
        <w:t>K</w:t>
      </w:r>
      <w:r w:rsidRPr="00767038">
        <w:rPr>
          <w:lang w:val="pl-PL"/>
        </w:rPr>
        <w:t xml:space="preserve">oncepcji programu i postanowieniami </w:t>
      </w:r>
      <w:r w:rsidR="00191248" w:rsidRPr="00767038">
        <w:rPr>
          <w:lang w:val="pl-PL"/>
        </w:rPr>
        <w:t>Umowy w sprawie programu</w:t>
      </w:r>
      <w:r w:rsidRPr="00767038">
        <w:rPr>
          <w:lang w:val="pl-PL"/>
        </w:rPr>
        <w:t>. B</w:t>
      </w:r>
      <w:r w:rsidR="00191248" w:rsidRPr="00767038">
        <w:rPr>
          <w:lang w:val="pl-PL"/>
        </w:rPr>
        <w:t>eneficjent projektu</w:t>
      </w:r>
      <w:r w:rsidRPr="00767038">
        <w:rPr>
          <w:lang w:val="pl-PL"/>
        </w:rPr>
        <w:t xml:space="preserve"> powinien otrzymać </w:t>
      </w:r>
      <w:r w:rsidR="00C92C05" w:rsidRPr="00767038">
        <w:rPr>
          <w:lang w:val="pl-PL"/>
        </w:rPr>
        <w:t>płatność</w:t>
      </w:r>
      <w:r w:rsidRPr="00767038">
        <w:rPr>
          <w:lang w:val="pl-PL"/>
        </w:rPr>
        <w:t xml:space="preserve">/prefinansowanie od </w:t>
      </w:r>
      <w:r w:rsidR="00315981" w:rsidRPr="00767038">
        <w:rPr>
          <w:lang w:val="pl-PL"/>
        </w:rPr>
        <w:t>Operator</w:t>
      </w:r>
      <w:r w:rsidR="00753275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zg</w:t>
      </w:r>
      <w:r w:rsidR="001D0157" w:rsidRPr="00767038">
        <w:rPr>
          <w:lang w:val="pl-PL"/>
        </w:rPr>
        <w:t>odnie z takim dofinansowaniem.</w:t>
      </w:r>
    </w:p>
    <w:p w:rsidR="00215E29" w:rsidRPr="00767038" w:rsidRDefault="00FB2938" w:rsidP="002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noProof/>
          <w:color w:val="1F4E79" w:themeColor="accent1" w:themeShade="8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D15025" wp14:editId="02FC52D1">
                <wp:simplePos x="0" y="0"/>
                <wp:positionH relativeFrom="margin">
                  <wp:posOffset>-60960</wp:posOffset>
                </wp:positionH>
                <wp:positionV relativeFrom="page">
                  <wp:posOffset>2503805</wp:posOffset>
                </wp:positionV>
                <wp:extent cx="5864860" cy="1562100"/>
                <wp:effectExtent l="5715" t="8255" r="6350" b="10795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215E29">
                            <w:pPr>
                              <w:jc w:val="lef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Przykład: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Poziom dofinansowania projektu</w:t>
                            </w:r>
                          </w:p>
                          <w:p w:rsidR="00C522D7" w:rsidRDefault="00C522D7" w:rsidP="00767038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W przypadku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naboru wniosków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w ramach Działań 1-3 (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standardowe schematy grantowe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nabory wniosków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) dofin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ansowanie z programu nie przekroczy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jako część całkowitych wydatków kwalifikowalnych projektu:</w:t>
                            </w:r>
                          </w:p>
                          <w:p w:rsidR="00C522D7" w:rsidRDefault="00C522D7" w:rsidP="00767038">
                            <w:pPr>
                              <w:ind w:left="426"/>
                              <w:jc w:val="lef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-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100%, jeżeli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beneficjentami są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jednostki administracji rządowej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; ·</w:t>
                            </w:r>
                          </w:p>
                          <w:p w:rsidR="00C522D7" w:rsidRDefault="00C522D7" w:rsidP="00767038">
                            <w:pPr>
                              <w:ind w:left="426"/>
                              <w:jc w:val="lef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- 90%, jeżeli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beneficjentami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są organizacj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e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pozarządow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e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(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art. 6.4.3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Regulacji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>).</w:t>
                            </w:r>
                          </w:p>
                          <w:p w:rsidR="00C522D7" w:rsidRPr="00265F1A" w:rsidRDefault="00C522D7" w:rsidP="00767038">
                            <w:pPr>
                              <w:jc w:val="lef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W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funduszu małych grantów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poziom dofinansowania na poziomie projektów nie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przekroczy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90%.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8pt;margin-top:197.15pt;width:461.8pt;height:1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" fillcolor="white [3212]" strokecolor="black [3213]">
                <v:textbox>
                  <w:txbxContent>
                    <w:p w:rsidR="00C522D7" w:rsidRPr="00265F1A" w:rsidRDefault="00C522D7" w:rsidP="00215E29">
                      <w:pPr>
                        <w:jc w:val="lef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szCs w:val="18"/>
                          <w:lang w:val="pl-PL"/>
                        </w:rPr>
                        <w:t>Przykład: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Poziom dofinansowania projektu</w:t>
                      </w:r>
                    </w:p>
                    <w:p w:rsidR="00C522D7" w:rsidRDefault="00C522D7" w:rsidP="00767038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W przypadku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naboru wniosków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w ramach Działań 1-3 (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standardowe schematy grantowe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/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nabory wniosków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) dofin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ansowanie z programu nie przekroczy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jako część całkowitych wydatków kwalifikowalnych projektu:</w:t>
                      </w:r>
                    </w:p>
                    <w:p w:rsidR="00C522D7" w:rsidRDefault="00C522D7" w:rsidP="00767038">
                      <w:pPr>
                        <w:ind w:left="426"/>
                        <w:jc w:val="left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- 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100%, jeżeli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beneficjentami są 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jednostki administracji rządowej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; ·</w:t>
                      </w:r>
                    </w:p>
                    <w:p w:rsidR="00C522D7" w:rsidRDefault="00C522D7" w:rsidP="00767038">
                      <w:pPr>
                        <w:ind w:left="426"/>
                        <w:jc w:val="lef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- 90%, jeżeli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beneficjentami 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są organizacj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e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pozarządow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e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(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art. 6.4.3 </w:t>
                      </w:r>
                      <w:r>
                        <w:rPr>
                          <w:sz w:val="18"/>
                          <w:lang w:val="pl-PL"/>
                        </w:rPr>
                        <w:t>Regulacji</w:t>
                      </w:r>
                      <w:r w:rsidRPr="00265F1A">
                        <w:rPr>
                          <w:sz w:val="18"/>
                          <w:lang w:val="pl-PL"/>
                        </w:rPr>
                        <w:t>).</w:t>
                      </w:r>
                    </w:p>
                    <w:p w:rsidR="00C522D7" w:rsidRPr="00265F1A" w:rsidRDefault="00C522D7" w:rsidP="00767038">
                      <w:pPr>
                        <w:jc w:val="lef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W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funduszu małych grantów 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poziom dofinansowania na poziomie projektów nie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przekroczy 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90%.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15E29" w:rsidRPr="00767038">
        <w:rPr>
          <w:noProof/>
          <w:color w:val="1F4E79" w:themeColor="accent1" w:themeShade="80"/>
          <w:lang w:val="pl-PL"/>
        </w:rPr>
        <w:t>Poziom dofinansowania projektu = Dofinansowanie projektu/Wydatki kwalifikowalne projektu</w:t>
      </w:r>
    </w:p>
    <w:p w:rsidR="00CA07FE" w:rsidRPr="00767038" w:rsidRDefault="00FB2938" w:rsidP="00D1414E">
      <w:pPr>
        <w:rPr>
          <w:noProof/>
          <w:color w:val="1F4E79" w:themeColor="accent1" w:themeShade="8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501D852" wp14:editId="52D484B4">
                <wp:simplePos x="0" y="0"/>
                <wp:positionH relativeFrom="margin">
                  <wp:posOffset>-60960</wp:posOffset>
                </wp:positionH>
                <wp:positionV relativeFrom="paragraph">
                  <wp:posOffset>2945765</wp:posOffset>
                </wp:positionV>
                <wp:extent cx="5864860" cy="1635760"/>
                <wp:effectExtent l="0" t="0" r="21590" b="2159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E12D1B">
                            <w:pPr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Przykład: </w:t>
                            </w:r>
                          </w:p>
                          <w:p w:rsidR="00C522D7" w:rsidRPr="00265F1A" w:rsidRDefault="00C522D7" w:rsidP="00042694">
                            <w:pPr>
                              <w:rPr>
                                <w:rFonts w:ascii="Calibri" w:hAnsi="Calibri"/>
                                <w:iCs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W jeden projekt mo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że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być zaangażowan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ych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4-5 jednostek jako partnerzy projektu, jedna jednostka składa wniosek i staje się ostatecznie beneficjentem projektu. Może się zdarzyć, że beneficjent projektu zapewnia niezbędne współfinansowanie dla całego projektu, podczas gdy pozostali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finansują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100% swoich wydatków kwalifikowalnych w formie dotacji.</w:t>
                            </w:r>
                          </w:p>
                          <w:p w:rsidR="00C522D7" w:rsidRPr="00265F1A" w:rsidRDefault="00C522D7" w:rsidP="00E12D1B">
                            <w:pPr>
                              <w:rPr>
                                <w:iCs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O ile beneficjent projektu zapewnia niezbędne współfinansowanie, żaden partner, w tym NGO lub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partner projektu z Państw-Darczyńców nie musi go uzupełniać.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Powyższe powinno jednak zostać każdorazowo uzgodnione między partnerami i określone w umowie partnerskiej.</w:t>
                            </w:r>
                          </w:p>
                          <w:p w:rsidR="00C522D7" w:rsidRPr="00265F1A" w:rsidRDefault="00C522D7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8pt;margin-top:231.95pt;width:461.8pt;height:128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">
                <v:textbox>
                  <w:txbxContent>
                    <w:p w:rsidR="00C522D7" w:rsidRPr="00265F1A" w:rsidRDefault="00C522D7" w:rsidP="00E12D1B">
                      <w:pPr>
                        <w:rPr>
                          <w:b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Przykład: </w:t>
                      </w:r>
                    </w:p>
                    <w:p w:rsidR="00C522D7" w:rsidRPr="00265F1A" w:rsidRDefault="00C522D7" w:rsidP="00042694">
                      <w:pPr>
                        <w:rPr>
                          <w:rFonts w:ascii="Calibri" w:hAnsi="Calibri"/>
                          <w:iCs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W jeden projekt mo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że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być zaangażowan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ych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4-5 jednostek jako partnerzy projektu, jedna jednostka składa wniosek i staje się ostatecznie beneficjentem projektu. Może się zdarzyć, że beneficjent projektu zapewnia niezbędne współfinansowanie dla całego projektu, podczas gdy pozostali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finansują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100% swoich wydatków kwalifikowalnych w formie dotacji.</w:t>
                      </w:r>
                    </w:p>
                    <w:p w:rsidR="00C522D7" w:rsidRPr="00265F1A" w:rsidRDefault="00C522D7" w:rsidP="00E12D1B">
                      <w:pPr>
                        <w:rPr>
                          <w:iCs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O ile beneficjent projektu zapewnia niezbędne współfinansowanie, żaden partner, w tym NGO lub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partner projektu z Państw-Darczyńców nie musi go uzupełniać. 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Powyższe powinno jednak zostać każdorazowo uzgodnione między partnerami i określone w umowie partnerskiej.</w:t>
                      </w:r>
                    </w:p>
                    <w:p w:rsidR="00C522D7" w:rsidRPr="00265F1A" w:rsidRDefault="00C522D7">
                      <w:pPr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327" w:rsidRPr="00767038">
        <w:rPr>
          <w:lang w:val="pl-PL"/>
        </w:rPr>
        <w:t xml:space="preserve">Poziom dofinansowania na poziomie projektów nie ma automatycznie zastosowania do wszystkich partnerów w ramach projektu. Poziom dofinansowania projektów jest </w:t>
      </w:r>
      <w:r w:rsidR="003B7649" w:rsidRPr="00767038">
        <w:rPr>
          <w:lang w:val="pl-PL"/>
        </w:rPr>
        <w:t xml:space="preserve">zależny od charakteru </w:t>
      </w:r>
      <w:r w:rsidR="007F05A3" w:rsidRPr="00767038">
        <w:rPr>
          <w:lang w:val="pl-PL"/>
        </w:rPr>
        <w:t>beneficjenta</w:t>
      </w:r>
      <w:r w:rsidR="00B14327" w:rsidRPr="00767038">
        <w:rPr>
          <w:lang w:val="pl-PL"/>
        </w:rPr>
        <w:t xml:space="preserve">, a nie partnerów projektów. </w:t>
      </w:r>
      <w:r w:rsidR="007F05A3" w:rsidRPr="00767038">
        <w:rPr>
          <w:lang w:val="pl-PL"/>
        </w:rPr>
        <w:t xml:space="preserve">Relacje </w:t>
      </w:r>
      <w:r w:rsidR="00B14327" w:rsidRPr="00767038">
        <w:rPr>
          <w:lang w:val="pl-PL"/>
        </w:rPr>
        <w:t>między beneficjentem i partnerami powin</w:t>
      </w:r>
      <w:r w:rsidR="007F05A3" w:rsidRPr="00767038">
        <w:rPr>
          <w:lang w:val="pl-PL"/>
        </w:rPr>
        <w:t>ny</w:t>
      </w:r>
      <w:r w:rsidR="00B14327" w:rsidRPr="00767038">
        <w:rPr>
          <w:lang w:val="pl-PL"/>
        </w:rPr>
        <w:t xml:space="preserve"> zostać uzgodnion</w:t>
      </w:r>
      <w:r w:rsidR="00CF66F2" w:rsidRPr="00767038">
        <w:rPr>
          <w:lang w:val="pl-PL"/>
        </w:rPr>
        <w:t>e</w:t>
      </w:r>
      <w:r w:rsidR="00B14327" w:rsidRPr="00767038">
        <w:rPr>
          <w:lang w:val="pl-PL"/>
        </w:rPr>
        <w:t xml:space="preserve"> międz</w:t>
      </w:r>
      <w:r w:rsidR="003B7649" w:rsidRPr="00767038">
        <w:rPr>
          <w:lang w:val="pl-PL"/>
        </w:rPr>
        <w:t xml:space="preserve">y nimi (art. 7.7 </w:t>
      </w:r>
      <w:r w:rsidR="005A62D3" w:rsidRPr="00767038">
        <w:rPr>
          <w:lang w:val="pl-PL"/>
        </w:rPr>
        <w:t>Regulacji</w:t>
      </w:r>
      <w:r w:rsidR="003B7649" w:rsidRPr="00767038">
        <w:rPr>
          <w:lang w:val="pl-PL"/>
        </w:rPr>
        <w:t xml:space="preserve">). </w:t>
      </w:r>
      <w:r w:rsidR="00B14327" w:rsidRPr="00767038">
        <w:rPr>
          <w:lang w:val="pl-PL"/>
        </w:rPr>
        <w:t>Rozporządzenia nie określają żadnych szczególnych zobowiąza</w:t>
      </w:r>
      <w:r w:rsidR="00767038" w:rsidRPr="00767038">
        <w:rPr>
          <w:lang w:val="pl-PL"/>
        </w:rPr>
        <w:t xml:space="preserve">ń dotyczących współfinansowania </w:t>
      </w:r>
      <w:r w:rsidR="00B14327" w:rsidRPr="00767038">
        <w:rPr>
          <w:lang w:val="pl-PL"/>
        </w:rPr>
        <w:t>partnerów.</w:t>
      </w:r>
    </w:p>
    <w:p w:rsidR="001A0AE4" w:rsidRPr="00767038" w:rsidRDefault="001A0AE4" w:rsidP="00BA5E95">
      <w:pPr>
        <w:rPr>
          <w:lang w:val="pl-PL"/>
        </w:rPr>
      </w:pPr>
      <w:r w:rsidRPr="00767038">
        <w:rPr>
          <w:lang w:val="pl-PL"/>
        </w:rPr>
        <w:t xml:space="preserve">Podejmując decyzję w sprawie poziomu dofinansowania projektu,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musi wziąć pod uwagę korzyści </w:t>
      </w:r>
      <w:r w:rsidR="00CF66F2" w:rsidRPr="00767038">
        <w:rPr>
          <w:lang w:val="pl-PL"/>
        </w:rPr>
        <w:t>ekonomiczne</w:t>
      </w:r>
      <w:r w:rsidRPr="00767038">
        <w:rPr>
          <w:lang w:val="pl-PL"/>
        </w:rPr>
        <w:t xml:space="preserve">, których oczekuje się w trakcie realizacji projektu w wyniku uzyskania wkładu finansowego.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powinien opracować metodologię wyliczania oczekiwanych korzyści </w:t>
      </w:r>
      <w:r w:rsidR="00CF66F2" w:rsidRPr="00767038">
        <w:rPr>
          <w:lang w:val="pl-PL"/>
        </w:rPr>
        <w:t xml:space="preserve">ekonomicznych </w:t>
      </w:r>
      <w:r w:rsidRPr="00767038">
        <w:rPr>
          <w:lang w:val="pl-PL"/>
        </w:rPr>
        <w:t xml:space="preserve">dla projektów generujących dochody. </w:t>
      </w:r>
      <w:r w:rsidR="0070600B">
        <w:rPr>
          <w:lang w:val="pl-PL"/>
        </w:rPr>
        <w:t>Odpowiednia</w:t>
      </w:r>
      <w:r w:rsidR="00786B7B">
        <w:rPr>
          <w:lang w:val="pl-PL"/>
        </w:rPr>
        <w:t xml:space="preserve"> metodologia powinna być </w:t>
      </w:r>
      <w:r w:rsidR="00AB676B">
        <w:rPr>
          <w:lang w:val="pl-PL"/>
        </w:rPr>
        <w:t xml:space="preserve">objęta zakresem audytu IA. </w:t>
      </w:r>
      <w:r w:rsidRPr="00767038">
        <w:rPr>
          <w:lang w:val="pl-PL"/>
        </w:rPr>
        <w:t xml:space="preserve">Metodologia taka nie musi być weryfikowana przez BMF. </w:t>
      </w:r>
    </w:p>
    <w:p w:rsidR="00767038" w:rsidRPr="00767038" w:rsidRDefault="00767038" w:rsidP="00BA5E95">
      <w:pPr>
        <w:rPr>
          <w:lang w:val="pl-PL"/>
        </w:rPr>
      </w:pPr>
    </w:p>
    <w:p w:rsidR="00DA7821" w:rsidRPr="00767038" w:rsidRDefault="00DA7821" w:rsidP="00A0039A">
      <w:pPr>
        <w:pStyle w:val="Nagwek2"/>
        <w:rPr>
          <w:lang w:val="pl-PL"/>
        </w:rPr>
      </w:pPr>
      <w:bookmarkStart w:id="24" w:name="_Toc498508029"/>
      <w:bookmarkStart w:id="25" w:name="_Toc498499983"/>
      <w:bookmarkStart w:id="26" w:name="_Toc498498870"/>
      <w:bookmarkStart w:id="27" w:name="_Toc498508028"/>
      <w:bookmarkStart w:id="28" w:name="_Toc498499982"/>
      <w:bookmarkStart w:id="29" w:name="_Toc498498869"/>
      <w:bookmarkStart w:id="30" w:name="_Toc496283572"/>
      <w:bookmarkStart w:id="31" w:name="_Toc496283533"/>
      <w:bookmarkStart w:id="32" w:name="_Toc496282841"/>
      <w:bookmarkStart w:id="33" w:name="_Toc496282769"/>
      <w:bookmarkStart w:id="34" w:name="_Ref465347249"/>
      <w:bookmarkStart w:id="35" w:name="_Toc50523850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767038">
        <w:rPr>
          <w:iCs/>
          <w:lang w:val="pl-PL"/>
        </w:rPr>
        <w:t xml:space="preserve">Pomoc techniczna dla </w:t>
      </w:r>
      <w:r w:rsidR="00CF66F2" w:rsidRPr="00767038">
        <w:rPr>
          <w:iCs/>
          <w:lang w:val="pl-PL"/>
        </w:rPr>
        <w:t>Państwa-Beneficjenta</w:t>
      </w:r>
      <w:r w:rsidRPr="00767038">
        <w:rPr>
          <w:iCs/>
          <w:lang w:val="pl-PL"/>
        </w:rPr>
        <w:t xml:space="preserve"> (art. 8.11 </w:t>
      </w:r>
      <w:r w:rsidR="005A62D3" w:rsidRPr="00767038">
        <w:rPr>
          <w:iCs/>
          <w:lang w:val="pl-PL"/>
        </w:rPr>
        <w:t>Regulacji</w:t>
      </w:r>
      <w:r w:rsidRPr="00767038">
        <w:rPr>
          <w:iCs/>
          <w:lang w:val="pl-PL"/>
        </w:rPr>
        <w:t>)</w:t>
      </w:r>
      <w:bookmarkEnd w:id="34"/>
      <w:bookmarkEnd w:id="35"/>
    </w:p>
    <w:p w:rsidR="00D30A3F" w:rsidRPr="00767038" w:rsidRDefault="00A35E94" w:rsidP="00D30A3F">
      <w:pPr>
        <w:rPr>
          <w:lang w:val="pl-PL"/>
        </w:rPr>
      </w:pPr>
      <w:r w:rsidRPr="00767038">
        <w:rPr>
          <w:lang w:val="pl-PL"/>
        </w:rPr>
        <w:t>Krajowy Punkt Kontaktowy koordynuje wykorzyst</w:t>
      </w:r>
      <w:r>
        <w:rPr>
          <w:lang w:val="pl-PL"/>
        </w:rPr>
        <w:t>anie</w:t>
      </w:r>
      <w:r w:rsidRPr="00767038">
        <w:rPr>
          <w:lang w:val="pl-PL"/>
        </w:rPr>
        <w:t xml:space="preserve"> pomocy technicznej. </w:t>
      </w:r>
      <w:r w:rsidR="00D30A3F" w:rsidRPr="00767038">
        <w:rPr>
          <w:lang w:val="pl-PL"/>
        </w:rPr>
        <w:t xml:space="preserve">W możliwie jak najkrótszym czasie po podpisaniu </w:t>
      </w:r>
      <w:r w:rsidR="00CF66F2" w:rsidRPr="00767038">
        <w:rPr>
          <w:lang w:val="pl-PL"/>
        </w:rPr>
        <w:t xml:space="preserve">Memorandum of </w:t>
      </w:r>
      <w:proofErr w:type="spellStart"/>
      <w:r w:rsidR="00CF66F2" w:rsidRPr="00767038">
        <w:rPr>
          <w:lang w:val="pl-PL"/>
        </w:rPr>
        <w:t>Understanding</w:t>
      </w:r>
      <w:proofErr w:type="spellEnd"/>
      <w:r w:rsidR="00CF66F2" w:rsidRPr="00767038">
        <w:rPr>
          <w:lang w:val="pl-PL"/>
        </w:rPr>
        <w:t xml:space="preserve"> </w:t>
      </w:r>
      <w:r w:rsidR="00D30A3F" w:rsidRPr="00767038">
        <w:rPr>
          <w:lang w:val="pl-PL"/>
        </w:rPr>
        <w:t>K</w:t>
      </w:r>
      <w:r w:rsidR="003B7649" w:rsidRPr="00767038">
        <w:rPr>
          <w:lang w:val="pl-PL"/>
        </w:rPr>
        <w:t>P</w:t>
      </w:r>
      <w:r w:rsidR="00D30A3F" w:rsidRPr="00767038">
        <w:rPr>
          <w:lang w:val="pl-PL"/>
        </w:rPr>
        <w:t>K przedkłada</w:t>
      </w:r>
      <w:r w:rsidR="00CF66F2" w:rsidRPr="00767038">
        <w:rPr>
          <w:lang w:val="pl-PL"/>
        </w:rPr>
        <w:t xml:space="preserve"> do</w:t>
      </w:r>
      <w:r w:rsidR="00D30A3F" w:rsidRPr="00767038">
        <w:rPr>
          <w:lang w:val="pl-PL"/>
        </w:rPr>
        <w:t xml:space="preserve"> BMF budżet na cały okres </w:t>
      </w:r>
      <w:r w:rsidR="00CF66F2" w:rsidRPr="00767038">
        <w:rPr>
          <w:lang w:val="pl-PL"/>
        </w:rPr>
        <w:t>wdrażania</w:t>
      </w:r>
      <w:r w:rsidR="00D30A3F" w:rsidRPr="00767038">
        <w:rPr>
          <w:lang w:val="pl-PL"/>
        </w:rPr>
        <w:t>, w tym szczegółowy budżet na pierwszy rok kalendarzowy.</w:t>
      </w:r>
    </w:p>
    <w:p w:rsidR="00A00C68" w:rsidRPr="00767038" w:rsidRDefault="00A35E94" w:rsidP="00D30A3F">
      <w:pPr>
        <w:rPr>
          <w:lang w:val="pl-PL"/>
        </w:rPr>
      </w:pPr>
      <w:r w:rsidRPr="00767038">
        <w:rPr>
          <w:lang w:val="pl-PL"/>
        </w:rPr>
        <w:lastRenderedPageBreak/>
        <w:t>Kwota powinna zostać określona w umowie w sprawie Pomocy Technicznej</w:t>
      </w:r>
      <w:r>
        <w:rPr>
          <w:lang w:val="pl-PL"/>
        </w:rPr>
        <w:t xml:space="preserve"> zawartej między</w:t>
      </w:r>
      <w:r w:rsidRPr="00767038">
        <w:rPr>
          <w:lang w:val="pl-PL"/>
        </w:rPr>
        <w:t xml:space="preserve"> KMF/NMSZ a KPK – wzór umowy w sprawie Pomocy Technicznej znajduje się w załączniku nr 7 do Regulacji). </w:t>
      </w:r>
      <w:r w:rsidR="00D30A3F" w:rsidRPr="00767038">
        <w:rPr>
          <w:lang w:val="pl-PL"/>
        </w:rPr>
        <w:t xml:space="preserve">W przypadku </w:t>
      </w:r>
      <w:r w:rsidR="00A00C68" w:rsidRPr="00767038">
        <w:rPr>
          <w:lang w:val="pl-PL"/>
        </w:rPr>
        <w:t>p</w:t>
      </w:r>
      <w:r w:rsidR="00CF66F2" w:rsidRPr="00767038">
        <w:rPr>
          <w:lang w:val="pl-PL"/>
        </w:rPr>
        <w:t xml:space="preserve">omocy </w:t>
      </w:r>
      <w:r w:rsidR="00A00C68" w:rsidRPr="00767038">
        <w:rPr>
          <w:lang w:val="pl-PL"/>
        </w:rPr>
        <w:t>techni</w:t>
      </w:r>
      <w:r w:rsidR="00CF66F2" w:rsidRPr="00767038">
        <w:rPr>
          <w:lang w:val="pl-PL"/>
        </w:rPr>
        <w:t>c</w:t>
      </w:r>
      <w:r w:rsidR="00A00C68" w:rsidRPr="00767038">
        <w:rPr>
          <w:lang w:val="pl-PL"/>
        </w:rPr>
        <w:t>z</w:t>
      </w:r>
      <w:r w:rsidR="00CF66F2" w:rsidRPr="00767038">
        <w:rPr>
          <w:lang w:val="pl-PL"/>
        </w:rPr>
        <w:t>nej</w:t>
      </w:r>
      <w:r w:rsidR="00D30A3F" w:rsidRPr="00767038">
        <w:rPr>
          <w:lang w:val="pl-PL"/>
        </w:rPr>
        <w:t xml:space="preserve"> z</w:t>
      </w:r>
      <w:r w:rsidR="00A00C68" w:rsidRPr="00767038">
        <w:rPr>
          <w:lang w:val="pl-PL"/>
        </w:rPr>
        <w:t>e strony</w:t>
      </w:r>
      <w:r w:rsidR="00D30A3F" w:rsidRPr="00767038">
        <w:rPr>
          <w:lang w:val="pl-PL"/>
        </w:rPr>
        <w:t xml:space="preserve"> państw będących beneficjentami </w:t>
      </w:r>
      <w:r w:rsidR="00D30A3F" w:rsidRPr="00767038">
        <w:rPr>
          <w:szCs w:val="20"/>
          <w:lang w:val="pl-PL"/>
        </w:rPr>
        <w:t xml:space="preserve">nie wymaga się </w:t>
      </w:r>
      <w:r w:rsidR="00A00C68" w:rsidRPr="00767038">
        <w:rPr>
          <w:szCs w:val="20"/>
          <w:lang w:val="pl-PL"/>
        </w:rPr>
        <w:t xml:space="preserve">wniesienia </w:t>
      </w:r>
      <w:r w:rsidR="00D30A3F" w:rsidRPr="00767038">
        <w:rPr>
          <w:szCs w:val="20"/>
          <w:lang w:val="pl-PL"/>
        </w:rPr>
        <w:t>współfinansowania</w:t>
      </w:r>
      <w:r w:rsidR="00767038" w:rsidRPr="00767038">
        <w:rPr>
          <w:szCs w:val="20"/>
          <w:lang w:val="pl-PL"/>
        </w:rPr>
        <w:t xml:space="preserve">. </w:t>
      </w:r>
      <w:r w:rsidR="00A00C68" w:rsidRPr="00767038">
        <w:rPr>
          <w:rStyle w:val="hps"/>
          <w:rFonts w:cs="Calibri"/>
          <w:color w:val="000000"/>
          <w:szCs w:val="20"/>
          <w:lang w:val="pl-PL"/>
        </w:rPr>
        <w:t>Następujące kategorie wydatków mogą być kosztami kwalifikowalnymi w ramach pomocy technicznej, z zachowaniem warunków i ograniczeń określonych w art. 8.11.3-10 Regulacji oraz ogólnymi zasadami kwalifikowalności wydatków określonymi w art. 8.2 Regulacji, pod warunkiem, że są one proporcjonalne i konieczne:</w:t>
      </w:r>
    </w:p>
    <w:p w:rsidR="00D30A3F" w:rsidRPr="00767038" w:rsidRDefault="00A00C68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w</w:t>
      </w:r>
      <w:r w:rsidR="003146B8" w:rsidRPr="00767038">
        <w:rPr>
          <w:lang w:val="pl-PL"/>
        </w:rPr>
        <w:t xml:space="preserve"> przypadku dodatkowych systemów zarządzenia </w:t>
      </w:r>
      <w:r w:rsidRPr="00767038">
        <w:rPr>
          <w:lang w:val="pl-PL"/>
        </w:rPr>
        <w:t xml:space="preserve">ustanowionych </w:t>
      </w:r>
      <w:r w:rsidR="003146B8" w:rsidRPr="00767038">
        <w:rPr>
          <w:lang w:val="pl-PL"/>
        </w:rPr>
        <w:t xml:space="preserve">specjalnie dla Mechanizmów Finansowych na lata 2014-2021 wydatki związane z przygotowaniem, </w:t>
      </w:r>
      <w:r w:rsidRPr="00767038">
        <w:rPr>
          <w:lang w:val="pl-PL"/>
        </w:rPr>
        <w:t>ewaluacją</w:t>
      </w:r>
      <w:r w:rsidR="003146B8" w:rsidRPr="00767038">
        <w:rPr>
          <w:lang w:val="pl-PL"/>
        </w:rPr>
        <w:t>, przepływ</w:t>
      </w:r>
      <w:r w:rsidR="003B7649" w:rsidRPr="00767038">
        <w:rPr>
          <w:lang w:val="pl-PL"/>
        </w:rPr>
        <w:t>a</w:t>
      </w:r>
      <w:r w:rsidR="003146B8" w:rsidRPr="00767038">
        <w:rPr>
          <w:lang w:val="pl-PL"/>
        </w:rPr>
        <w:t>m</w:t>
      </w:r>
      <w:r w:rsidR="003B7649" w:rsidRPr="00767038">
        <w:rPr>
          <w:lang w:val="pl-PL"/>
        </w:rPr>
        <w:t>i</w:t>
      </w:r>
      <w:r w:rsidR="003146B8" w:rsidRPr="00767038">
        <w:rPr>
          <w:lang w:val="pl-PL"/>
        </w:rPr>
        <w:t xml:space="preserve"> finansowy</w:t>
      </w:r>
      <w:r w:rsidR="003B7649" w:rsidRPr="00767038">
        <w:rPr>
          <w:lang w:val="pl-PL"/>
        </w:rPr>
        <w:t>mi</w:t>
      </w:r>
      <w:r w:rsidR="003146B8" w:rsidRPr="00767038">
        <w:rPr>
          <w:lang w:val="pl-PL"/>
        </w:rPr>
        <w:t xml:space="preserve"> </w:t>
      </w:r>
      <w:r w:rsidRPr="00767038">
        <w:rPr>
          <w:lang w:val="pl-PL"/>
        </w:rPr>
        <w:t>oraz</w:t>
      </w:r>
      <w:r w:rsidR="003146B8" w:rsidRPr="00767038">
        <w:rPr>
          <w:lang w:val="pl-PL"/>
        </w:rPr>
        <w:t xml:space="preserve"> monitorowaniem pomocy</w:t>
      </w:r>
      <w:r w:rsidRPr="00767038">
        <w:rPr>
          <w:lang w:val="pl-PL"/>
        </w:rPr>
        <w:t xml:space="preserve"> i</w:t>
      </w:r>
      <w:r w:rsidR="003146B8" w:rsidRPr="00767038">
        <w:rPr>
          <w:lang w:val="pl-PL"/>
        </w:rPr>
        <w:t xml:space="preserve"> program</w:t>
      </w:r>
      <w:r w:rsidRPr="00767038">
        <w:rPr>
          <w:lang w:val="pl-PL"/>
        </w:rPr>
        <w:t>ów oraz</w:t>
      </w:r>
      <w:r w:rsidR="003146B8" w:rsidRPr="00767038">
        <w:rPr>
          <w:lang w:val="pl-PL"/>
        </w:rPr>
        <w:t xml:space="preserve"> Funduszem </w:t>
      </w:r>
      <w:r w:rsidRPr="00767038">
        <w:rPr>
          <w:lang w:val="pl-PL"/>
        </w:rPr>
        <w:t xml:space="preserve">Współpracy </w:t>
      </w:r>
      <w:r w:rsidR="003146B8" w:rsidRPr="00767038">
        <w:rPr>
          <w:lang w:val="pl-PL"/>
        </w:rPr>
        <w:t>Dwustronn</w:t>
      </w:r>
      <w:r w:rsidRPr="00767038">
        <w:rPr>
          <w:lang w:val="pl-PL"/>
        </w:rPr>
        <w:t>ej</w:t>
      </w:r>
      <w:r w:rsidR="003146B8" w:rsidRPr="00767038">
        <w:rPr>
          <w:lang w:val="pl-PL"/>
        </w:rPr>
        <w:t>;</w:t>
      </w:r>
    </w:p>
    <w:p w:rsidR="00D30A3F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p</w:t>
      </w:r>
      <w:r w:rsidR="003146B8" w:rsidRPr="00767038">
        <w:rPr>
          <w:lang w:val="pl-PL"/>
        </w:rPr>
        <w:t xml:space="preserve">rzygotowanie i </w:t>
      </w:r>
      <w:r w:rsidR="00A00C68" w:rsidRPr="00767038">
        <w:rPr>
          <w:lang w:val="pl-PL"/>
        </w:rPr>
        <w:t xml:space="preserve">uczestnictwo </w:t>
      </w:r>
      <w:r w:rsidR="003146B8" w:rsidRPr="00767038">
        <w:rPr>
          <w:lang w:val="pl-PL"/>
        </w:rPr>
        <w:t xml:space="preserve">w </w:t>
      </w:r>
      <w:r w:rsidR="00A00C68" w:rsidRPr="00767038">
        <w:rPr>
          <w:lang w:val="pl-PL"/>
        </w:rPr>
        <w:t xml:space="preserve">spotkaniach rocznych </w:t>
      </w:r>
      <w:r w:rsidR="00A35E94" w:rsidRPr="00767038">
        <w:rPr>
          <w:lang w:val="pl-PL"/>
        </w:rPr>
        <w:t>z Państwami-Darczyńcami</w:t>
      </w:r>
      <w:r w:rsidR="003146B8" w:rsidRPr="00767038">
        <w:rPr>
          <w:lang w:val="pl-PL"/>
        </w:rPr>
        <w:t xml:space="preserve"> i pozostałych </w:t>
      </w:r>
      <w:r w:rsidR="00A00C68" w:rsidRPr="00767038">
        <w:rPr>
          <w:lang w:val="pl-PL"/>
        </w:rPr>
        <w:t>spotkaniach z P</w:t>
      </w:r>
      <w:r w:rsidR="00767038" w:rsidRPr="00767038">
        <w:rPr>
          <w:lang w:val="pl-PL"/>
        </w:rPr>
        <w:t>a</w:t>
      </w:r>
      <w:r w:rsidR="003146B8" w:rsidRPr="00767038">
        <w:rPr>
          <w:lang w:val="pl-PL"/>
        </w:rPr>
        <w:t>ństw</w:t>
      </w:r>
      <w:r w:rsidR="00A00C68" w:rsidRPr="00767038">
        <w:rPr>
          <w:lang w:val="pl-PL"/>
        </w:rPr>
        <w:t>ami</w:t>
      </w:r>
      <w:r w:rsidR="003146B8" w:rsidRPr="00767038">
        <w:rPr>
          <w:lang w:val="pl-PL"/>
        </w:rPr>
        <w:t>-</w:t>
      </w:r>
      <w:r w:rsidR="00A00C68" w:rsidRPr="00767038">
        <w:rPr>
          <w:lang w:val="pl-PL"/>
        </w:rPr>
        <w:t>D</w:t>
      </w:r>
      <w:r w:rsidR="003146B8" w:rsidRPr="00767038">
        <w:rPr>
          <w:lang w:val="pl-PL"/>
        </w:rPr>
        <w:t>arczyńc</w:t>
      </w:r>
      <w:r w:rsidR="00A00C68" w:rsidRPr="00767038">
        <w:rPr>
          <w:lang w:val="pl-PL"/>
        </w:rPr>
        <w:t>ami</w:t>
      </w:r>
      <w:r w:rsidR="003146B8" w:rsidRPr="00767038">
        <w:rPr>
          <w:lang w:val="pl-PL"/>
        </w:rPr>
        <w:t xml:space="preserve"> </w:t>
      </w:r>
      <w:r w:rsidR="00A00C68" w:rsidRPr="00767038">
        <w:rPr>
          <w:lang w:val="pl-PL"/>
        </w:rPr>
        <w:t>związany</w:t>
      </w:r>
      <w:r w:rsidR="00C252B6">
        <w:rPr>
          <w:lang w:val="pl-PL"/>
        </w:rPr>
        <w:t>mi</w:t>
      </w:r>
      <w:r w:rsidR="00A00C68" w:rsidRPr="00767038">
        <w:rPr>
          <w:lang w:val="pl-PL"/>
        </w:rPr>
        <w:t xml:space="preserve"> z </w:t>
      </w:r>
      <w:r w:rsidR="003146B8" w:rsidRPr="00767038">
        <w:rPr>
          <w:lang w:val="pl-PL"/>
        </w:rPr>
        <w:t>wdrażani</w:t>
      </w:r>
      <w:r w:rsidR="00A00C68" w:rsidRPr="00767038">
        <w:rPr>
          <w:lang w:val="pl-PL"/>
        </w:rPr>
        <w:t>em</w:t>
      </w:r>
      <w:r w:rsidR="003146B8" w:rsidRPr="00767038">
        <w:rPr>
          <w:lang w:val="pl-PL"/>
        </w:rPr>
        <w:t xml:space="preserve"> pomocy. Wydatki te mogą także obejmować koszty ekspertów i </w:t>
      </w:r>
      <w:r w:rsidR="00A00C68" w:rsidRPr="00767038">
        <w:rPr>
          <w:lang w:val="pl-PL"/>
        </w:rPr>
        <w:t xml:space="preserve">innych </w:t>
      </w:r>
      <w:r w:rsidR="003146B8" w:rsidRPr="00767038">
        <w:rPr>
          <w:lang w:val="pl-PL"/>
        </w:rPr>
        <w:t xml:space="preserve">uczestników, w tym uczestników z państw trzecich, jeżeli przewodniczący </w:t>
      </w:r>
      <w:r w:rsidRPr="00767038">
        <w:rPr>
          <w:lang w:val="pl-PL"/>
        </w:rPr>
        <w:t xml:space="preserve">uzna, że </w:t>
      </w:r>
      <w:r w:rsidR="003146B8" w:rsidRPr="00767038">
        <w:rPr>
          <w:lang w:val="pl-PL"/>
        </w:rPr>
        <w:t xml:space="preserve">obecność </w:t>
      </w:r>
      <w:r w:rsidRPr="00767038">
        <w:rPr>
          <w:lang w:val="pl-PL"/>
        </w:rPr>
        <w:t>tych osób jest</w:t>
      </w:r>
      <w:r w:rsidR="003B7649" w:rsidRPr="00767038">
        <w:rPr>
          <w:lang w:val="pl-PL"/>
        </w:rPr>
        <w:t xml:space="preserve"> </w:t>
      </w:r>
      <w:r w:rsidR="003146B8" w:rsidRPr="00767038">
        <w:rPr>
          <w:lang w:val="pl-PL"/>
        </w:rPr>
        <w:t>niezbędn</w:t>
      </w:r>
      <w:r w:rsidRPr="00767038">
        <w:rPr>
          <w:lang w:val="pl-PL"/>
        </w:rPr>
        <w:t>a</w:t>
      </w:r>
      <w:r w:rsidR="003146B8" w:rsidRPr="00767038">
        <w:rPr>
          <w:lang w:val="pl-PL"/>
        </w:rPr>
        <w:t xml:space="preserve"> dla skutecznego wdrożenia pomocy;</w:t>
      </w:r>
    </w:p>
    <w:p w:rsidR="00D30A3F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 xml:space="preserve">spotkania </w:t>
      </w:r>
      <w:r w:rsidR="003146B8" w:rsidRPr="00767038">
        <w:rPr>
          <w:lang w:val="pl-PL"/>
        </w:rPr>
        <w:t xml:space="preserve">i konferencje organizowane przez KPK, IA, Instytucję ds. </w:t>
      </w:r>
      <w:r w:rsidRPr="00767038">
        <w:rPr>
          <w:lang w:val="pl-PL"/>
        </w:rPr>
        <w:t>n</w:t>
      </w:r>
      <w:r w:rsidR="003146B8" w:rsidRPr="00767038">
        <w:rPr>
          <w:lang w:val="pl-PL"/>
        </w:rPr>
        <w:t xml:space="preserve">ieprawidłowości lub IC w celu dzielenia się doświadczeniami związanymi z </w:t>
      </w:r>
      <w:r w:rsidRPr="00767038">
        <w:rPr>
          <w:lang w:val="pl-PL"/>
        </w:rPr>
        <w:t>wdrażaniem</w:t>
      </w:r>
      <w:r w:rsidR="003146B8" w:rsidRPr="00767038">
        <w:rPr>
          <w:lang w:val="pl-PL"/>
        </w:rPr>
        <w:t xml:space="preserve">, monitorowaniem, </w:t>
      </w:r>
      <w:r w:rsidRPr="00767038">
        <w:rPr>
          <w:lang w:val="pl-PL"/>
        </w:rPr>
        <w:t>ewaluacją</w:t>
      </w:r>
      <w:r w:rsidR="003146B8" w:rsidRPr="00767038">
        <w:rPr>
          <w:lang w:val="pl-PL"/>
        </w:rPr>
        <w:t xml:space="preserve">, raportowaniem i audytem projektów finansowanych </w:t>
      </w:r>
      <w:r w:rsidRPr="00767038">
        <w:rPr>
          <w:lang w:val="pl-PL"/>
        </w:rPr>
        <w:t>w ramach</w:t>
      </w:r>
      <w:r w:rsidR="003146B8" w:rsidRPr="00767038">
        <w:rPr>
          <w:lang w:val="pl-PL"/>
        </w:rPr>
        <w:t xml:space="preserve"> Mechanizmów Finansowych na lata 2014-2021, w tym wydatki związane z podróżami i zakwaterowaniem uczestników. </w:t>
      </w:r>
      <w:r w:rsidRPr="00767038">
        <w:rPr>
          <w:lang w:val="pl-PL"/>
        </w:rPr>
        <w:t>D</w:t>
      </w:r>
      <w:r w:rsidR="003146B8" w:rsidRPr="00767038">
        <w:rPr>
          <w:lang w:val="pl-PL"/>
        </w:rPr>
        <w:t xml:space="preserve">o udziału w takich </w:t>
      </w:r>
      <w:r w:rsidRPr="00767038">
        <w:rPr>
          <w:lang w:val="pl-PL"/>
        </w:rPr>
        <w:t>spotkaniach</w:t>
      </w:r>
      <w:r w:rsidR="003146B8" w:rsidRPr="00767038">
        <w:rPr>
          <w:lang w:val="pl-PL"/>
        </w:rPr>
        <w:t xml:space="preserve"> </w:t>
      </w:r>
      <w:r w:rsidRPr="00767038">
        <w:rPr>
          <w:lang w:val="pl-PL"/>
        </w:rPr>
        <w:t>i</w:t>
      </w:r>
      <w:r w:rsidR="003146B8" w:rsidRPr="00767038">
        <w:rPr>
          <w:lang w:val="pl-PL"/>
        </w:rPr>
        <w:t xml:space="preserve"> konferencjach</w:t>
      </w:r>
      <w:r w:rsidRPr="00767038">
        <w:rPr>
          <w:lang w:val="pl-PL"/>
        </w:rPr>
        <w:t xml:space="preserve"> zaproszeni będą przedstawiciele Państw-Darczyńców</w:t>
      </w:r>
      <w:r w:rsidR="003146B8" w:rsidRPr="00767038">
        <w:rPr>
          <w:lang w:val="pl-PL"/>
        </w:rPr>
        <w:t>;</w:t>
      </w:r>
    </w:p>
    <w:p w:rsidR="00D30A3F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d</w:t>
      </w:r>
      <w:r w:rsidR="003146B8" w:rsidRPr="00767038">
        <w:rPr>
          <w:lang w:val="pl-PL"/>
        </w:rPr>
        <w:t>ziałania promocyjn</w:t>
      </w:r>
      <w:r w:rsidRPr="00767038">
        <w:rPr>
          <w:lang w:val="pl-PL"/>
        </w:rPr>
        <w:t xml:space="preserve">e i </w:t>
      </w:r>
      <w:r w:rsidR="003146B8" w:rsidRPr="00767038">
        <w:rPr>
          <w:lang w:val="pl-PL"/>
        </w:rPr>
        <w:t>informacyjne;</w:t>
      </w:r>
    </w:p>
    <w:p w:rsidR="00D30A3F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a</w:t>
      </w:r>
      <w:r w:rsidR="003146B8" w:rsidRPr="00767038">
        <w:rPr>
          <w:lang w:val="pl-PL"/>
        </w:rPr>
        <w:t xml:space="preserve">udyty, o których mowa w art. 5.5 </w:t>
      </w:r>
      <w:r w:rsidR="005A62D3" w:rsidRPr="00767038">
        <w:rPr>
          <w:lang w:val="pl-PL"/>
        </w:rPr>
        <w:t>Regulacji</w:t>
      </w:r>
      <w:r w:rsidR="003146B8" w:rsidRPr="00767038">
        <w:rPr>
          <w:lang w:val="pl-PL"/>
        </w:rPr>
        <w:t xml:space="preserve"> i art. 5.7 ust. 3 </w:t>
      </w:r>
      <w:r w:rsidR="005A62D3" w:rsidRPr="00767038">
        <w:rPr>
          <w:lang w:val="pl-PL"/>
        </w:rPr>
        <w:t>Regulacji</w:t>
      </w:r>
      <w:r w:rsidR="003146B8" w:rsidRPr="00767038">
        <w:rPr>
          <w:lang w:val="pl-PL"/>
        </w:rPr>
        <w:t>;</w:t>
      </w:r>
    </w:p>
    <w:p w:rsidR="00D30A3F" w:rsidRPr="00767038" w:rsidRDefault="00C252B6" w:rsidP="00767038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>w</w:t>
      </w:r>
      <w:r w:rsidR="003146B8" w:rsidRPr="00767038">
        <w:rPr>
          <w:lang w:val="pl-PL"/>
        </w:rPr>
        <w:t>ydatki związane z weryfikacj</w:t>
      </w:r>
      <w:r w:rsidR="000647E2" w:rsidRPr="00767038">
        <w:rPr>
          <w:lang w:val="pl-PL"/>
        </w:rPr>
        <w:t>ą</w:t>
      </w:r>
      <w:r w:rsidR="003146B8" w:rsidRPr="00767038">
        <w:rPr>
          <w:lang w:val="pl-PL"/>
        </w:rPr>
        <w:t xml:space="preserve"> programów i </w:t>
      </w:r>
      <w:r w:rsidR="00A35E94" w:rsidRPr="00767038">
        <w:rPr>
          <w:lang w:val="pl-PL"/>
        </w:rPr>
        <w:t>projektów na</w:t>
      </w:r>
      <w:r w:rsidR="003146B8" w:rsidRPr="00767038">
        <w:rPr>
          <w:lang w:val="pl-PL"/>
        </w:rPr>
        <w:t xml:space="preserve"> miejscu; </w:t>
      </w:r>
    </w:p>
    <w:p w:rsidR="00D30A3F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p</w:t>
      </w:r>
      <w:r w:rsidR="003146B8" w:rsidRPr="00767038">
        <w:rPr>
          <w:lang w:val="pl-PL"/>
        </w:rPr>
        <w:t xml:space="preserve">rzeglądy i </w:t>
      </w:r>
      <w:r w:rsidRPr="00767038">
        <w:rPr>
          <w:lang w:val="pl-PL"/>
        </w:rPr>
        <w:t>ewaluacja</w:t>
      </w:r>
      <w:r w:rsidR="003146B8" w:rsidRPr="00767038">
        <w:rPr>
          <w:lang w:val="pl-PL"/>
        </w:rPr>
        <w:t xml:space="preserve">; </w:t>
      </w:r>
    </w:p>
    <w:p w:rsidR="00D30A3F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pomoc techniczna dla</w:t>
      </w:r>
      <w:r w:rsidR="00B310B7" w:rsidRPr="00767038">
        <w:rPr>
          <w:lang w:val="pl-PL"/>
        </w:rPr>
        <w:t xml:space="preserve"> wdrożenia Mechanizmów Finansowych na lata 2009-2014, poniesion</w:t>
      </w:r>
      <w:r w:rsidRPr="00767038">
        <w:rPr>
          <w:lang w:val="pl-PL"/>
        </w:rPr>
        <w:t>a</w:t>
      </w:r>
      <w:r w:rsidR="00B310B7" w:rsidRPr="00767038">
        <w:rPr>
          <w:lang w:val="pl-PL"/>
        </w:rPr>
        <w:t xml:space="preserve"> w </w:t>
      </w:r>
      <w:r w:rsidRPr="00767038">
        <w:rPr>
          <w:lang w:val="pl-PL"/>
        </w:rPr>
        <w:t>okresie</w:t>
      </w:r>
      <w:r w:rsidR="00B310B7" w:rsidRPr="00767038">
        <w:rPr>
          <w:lang w:val="pl-PL"/>
        </w:rPr>
        <w:t xml:space="preserve"> 12 miesięcy</w:t>
      </w:r>
      <w:r w:rsidRPr="00767038">
        <w:rPr>
          <w:lang w:val="pl-PL"/>
        </w:rPr>
        <w:t xml:space="preserve"> od daty </w:t>
      </w:r>
      <w:r w:rsidR="00A35E94" w:rsidRPr="00767038">
        <w:rPr>
          <w:lang w:val="pl-PL"/>
        </w:rPr>
        <w:t>zakończenia kwalifikowalności</w:t>
      </w:r>
      <w:r w:rsidR="00B310B7" w:rsidRPr="00767038">
        <w:rPr>
          <w:lang w:val="pl-PL"/>
        </w:rPr>
        <w:t xml:space="preserve"> </w:t>
      </w:r>
      <w:r w:rsidR="00767038" w:rsidRPr="00767038">
        <w:rPr>
          <w:lang w:val="pl-PL"/>
        </w:rPr>
        <w:t>dla tej pomocy technicznej</w:t>
      </w:r>
      <w:r w:rsidR="00B310B7" w:rsidRPr="00767038">
        <w:rPr>
          <w:lang w:val="pl-PL"/>
        </w:rPr>
        <w:t>; i</w:t>
      </w:r>
    </w:p>
    <w:p w:rsidR="006131F6" w:rsidRPr="00767038" w:rsidRDefault="000647E2" w:rsidP="00767038">
      <w:pPr>
        <w:pStyle w:val="Akapitzlist"/>
        <w:numPr>
          <w:ilvl w:val="0"/>
          <w:numId w:val="22"/>
        </w:numPr>
        <w:rPr>
          <w:lang w:val="pl-PL"/>
        </w:rPr>
      </w:pPr>
      <w:r w:rsidRPr="00767038">
        <w:rPr>
          <w:lang w:val="pl-PL"/>
        </w:rPr>
        <w:t>p</w:t>
      </w:r>
      <w:r w:rsidR="003146B8" w:rsidRPr="00767038">
        <w:rPr>
          <w:lang w:val="pl-PL"/>
        </w:rPr>
        <w:t>rzygotowanie wdr</w:t>
      </w:r>
      <w:r w:rsidRPr="00767038">
        <w:rPr>
          <w:lang w:val="pl-PL"/>
        </w:rPr>
        <w:t>a</w:t>
      </w:r>
      <w:r w:rsidR="003146B8" w:rsidRPr="00767038">
        <w:rPr>
          <w:lang w:val="pl-PL"/>
        </w:rPr>
        <w:t>ż</w:t>
      </w:r>
      <w:r w:rsidRPr="00767038">
        <w:rPr>
          <w:lang w:val="pl-PL"/>
        </w:rPr>
        <w:t>a</w:t>
      </w:r>
      <w:r w:rsidR="003146B8" w:rsidRPr="00767038">
        <w:rPr>
          <w:lang w:val="pl-PL"/>
        </w:rPr>
        <w:t>nia Mechanizmów Finansowych na lata 2014-2021.</w:t>
      </w:r>
    </w:p>
    <w:p w:rsidR="00A56744" w:rsidRPr="00767038" w:rsidRDefault="000647E2" w:rsidP="00C05DDD">
      <w:pPr>
        <w:rPr>
          <w:lang w:val="pl-PL"/>
        </w:rPr>
      </w:pPr>
      <w:r w:rsidRPr="00767038">
        <w:rPr>
          <w:lang w:val="pl-PL"/>
        </w:rPr>
        <w:t xml:space="preserve">Regulacje </w:t>
      </w:r>
      <w:r w:rsidR="00A56744" w:rsidRPr="00767038">
        <w:rPr>
          <w:lang w:val="pl-PL"/>
        </w:rPr>
        <w:t xml:space="preserve">nie określają szczegółowo, </w:t>
      </w:r>
      <w:r w:rsidRPr="00767038">
        <w:rPr>
          <w:lang w:val="pl-PL"/>
        </w:rPr>
        <w:t xml:space="preserve">czy </w:t>
      </w:r>
      <w:r w:rsidR="00A56744" w:rsidRPr="00767038">
        <w:rPr>
          <w:lang w:val="pl-PL"/>
        </w:rPr>
        <w:t xml:space="preserve">szkolenia i doskonalenie umiejętności zawodowych są zasadniczo kwalifikowalnymi wydatkami w ramach Mechanizmów Finansowych. Zakłada się ogólnie, że </w:t>
      </w:r>
      <w:r w:rsidRPr="00767038">
        <w:rPr>
          <w:lang w:val="pl-PL"/>
        </w:rPr>
        <w:t xml:space="preserve">instytucje </w:t>
      </w:r>
      <w:r w:rsidR="00A56744" w:rsidRPr="00767038">
        <w:rPr>
          <w:lang w:val="pl-PL"/>
        </w:rPr>
        <w:t xml:space="preserve">krajowe powinny już posiadać umiejętności i kompetencje niezbędne </w:t>
      </w:r>
      <w:r w:rsidR="00C252B6">
        <w:rPr>
          <w:lang w:val="pl-PL"/>
        </w:rPr>
        <w:t>do</w:t>
      </w:r>
      <w:r w:rsidR="00A56744" w:rsidRPr="00767038">
        <w:rPr>
          <w:lang w:val="pl-PL"/>
        </w:rPr>
        <w:t xml:space="preserve"> wypełniania ich roli (np. umiejętności językowe i inne). </w:t>
      </w:r>
    </w:p>
    <w:p w:rsidR="00A56744" w:rsidRPr="00767038" w:rsidRDefault="000647E2" w:rsidP="00C05DDD">
      <w:pPr>
        <w:rPr>
          <w:lang w:val="pl-PL"/>
        </w:rPr>
      </w:pPr>
      <w:r w:rsidRPr="00767038">
        <w:rPr>
          <w:lang w:val="pl-PL"/>
        </w:rPr>
        <w:t>Jednakże, w</w:t>
      </w:r>
      <w:r w:rsidR="00A56744" w:rsidRPr="00767038">
        <w:rPr>
          <w:lang w:val="pl-PL"/>
        </w:rPr>
        <w:t xml:space="preserve"> uzasadnionych przypadkach koszty udziału pracowników w szkoleniach, które mają służyć doskonaleniu umiejętności wykonywania zadań, np. w zakresie monitoringu, zamówień publicznych, zarządzania finansami i/lub związanymi z przedmiotem programów, </w:t>
      </w:r>
      <w:r w:rsidR="001D0157" w:rsidRPr="00767038">
        <w:rPr>
          <w:lang w:val="pl-PL"/>
        </w:rPr>
        <w:t>można uznać za kwalifikowalne.</w:t>
      </w:r>
    </w:p>
    <w:p w:rsidR="00A56744" w:rsidRPr="00767038" w:rsidRDefault="00A56744" w:rsidP="00C05DDD">
      <w:pPr>
        <w:rPr>
          <w:lang w:val="pl-PL"/>
        </w:rPr>
      </w:pPr>
      <w:r w:rsidRPr="00767038">
        <w:rPr>
          <w:lang w:val="pl-PL"/>
        </w:rPr>
        <w:t>Przed poświadczenie</w:t>
      </w:r>
      <w:r w:rsidR="003B7649" w:rsidRPr="00767038">
        <w:rPr>
          <w:lang w:val="pl-PL"/>
        </w:rPr>
        <w:t>m</w:t>
      </w:r>
      <w:r w:rsidRPr="00767038">
        <w:rPr>
          <w:lang w:val="pl-PL"/>
        </w:rPr>
        <w:t xml:space="preserve"> </w:t>
      </w:r>
      <w:r w:rsidR="000647E2" w:rsidRPr="00767038">
        <w:rPr>
          <w:lang w:val="pl-PL"/>
        </w:rPr>
        <w:t xml:space="preserve">tych </w:t>
      </w:r>
      <w:r w:rsidRPr="00767038">
        <w:rPr>
          <w:lang w:val="pl-PL"/>
        </w:rPr>
        <w:t>kosztów IC powinna sprawdzić, czy udział pracowników w szkoleniach doskonalących ich umiejętności jest właściwie uzasadniony pod względem wykonyw</w:t>
      </w:r>
      <w:r w:rsidR="003B7649" w:rsidRPr="00767038">
        <w:rPr>
          <w:lang w:val="pl-PL"/>
        </w:rPr>
        <w:t xml:space="preserve">anych </w:t>
      </w:r>
      <w:r w:rsidRPr="00767038">
        <w:rPr>
          <w:lang w:val="pl-PL"/>
        </w:rPr>
        <w:t xml:space="preserve">zadań, np. w zakresie monitoringu, zamówień publicznych, zarządzania finansami i/lub związanych z przedmiotem programów. </w:t>
      </w:r>
    </w:p>
    <w:p w:rsidR="00D665C8" w:rsidRPr="00767038" w:rsidRDefault="003E6123" w:rsidP="00D665C8">
      <w:pPr>
        <w:rPr>
          <w:lang w:val="pl-PL"/>
        </w:rPr>
      </w:pPr>
      <w:r w:rsidRPr="00767038">
        <w:rPr>
          <w:lang w:val="pl-PL"/>
        </w:rPr>
        <w:t>Pierwszym dniem</w:t>
      </w:r>
      <w:r w:rsidR="006A0892" w:rsidRPr="00767038">
        <w:rPr>
          <w:lang w:val="pl-PL"/>
        </w:rPr>
        <w:t xml:space="preserve"> kwalifikowalności wsparcia z </w:t>
      </w:r>
      <w:r w:rsidRPr="00767038">
        <w:rPr>
          <w:lang w:val="pl-PL"/>
        </w:rPr>
        <w:t>pomocy technicznej</w:t>
      </w:r>
      <w:r w:rsidR="006A0892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jest dzień złożenia ostatniego podpisu pod </w:t>
      </w:r>
      <w:proofErr w:type="spellStart"/>
      <w:r w:rsidRPr="00767038">
        <w:rPr>
          <w:lang w:val="pl-PL"/>
        </w:rPr>
        <w:t>MoU</w:t>
      </w:r>
      <w:proofErr w:type="spellEnd"/>
      <w:r w:rsidR="006A0892" w:rsidRPr="00767038">
        <w:rPr>
          <w:lang w:val="pl-PL"/>
        </w:rPr>
        <w:t xml:space="preserve"> </w:t>
      </w:r>
      <w:r w:rsidRPr="00767038">
        <w:rPr>
          <w:lang w:val="pl-PL"/>
        </w:rPr>
        <w:t>zawartym z właściwym Państwem-Beneficjentem</w:t>
      </w:r>
      <w:r w:rsidR="006A0892" w:rsidRPr="00767038">
        <w:rPr>
          <w:lang w:val="pl-PL"/>
        </w:rPr>
        <w:t xml:space="preserve">. Jeżeli wsparcie </w:t>
      </w:r>
      <w:r w:rsidRPr="00767038">
        <w:rPr>
          <w:lang w:val="pl-PL"/>
        </w:rPr>
        <w:t>na pomoc techniczną otrzymane zostało</w:t>
      </w:r>
      <w:r w:rsidR="006A0892" w:rsidRPr="00767038">
        <w:rPr>
          <w:lang w:val="pl-PL"/>
        </w:rPr>
        <w:t xml:space="preserve"> zarówno </w:t>
      </w:r>
      <w:r w:rsidRPr="00767038">
        <w:rPr>
          <w:lang w:val="pl-PL"/>
        </w:rPr>
        <w:t xml:space="preserve">w ramach </w:t>
      </w:r>
      <w:r w:rsidR="006A0892" w:rsidRPr="00767038">
        <w:rPr>
          <w:lang w:val="pl-PL"/>
        </w:rPr>
        <w:t xml:space="preserve">Mechanizmu Finansowego EOG, jak i Norweskiego Mechanizmu Finansowego, </w:t>
      </w:r>
      <w:r w:rsidRPr="00767038">
        <w:rPr>
          <w:lang w:val="pl-PL"/>
        </w:rPr>
        <w:t xml:space="preserve">pierwszym </w:t>
      </w:r>
      <w:r w:rsidR="00A35E94" w:rsidRPr="00767038">
        <w:rPr>
          <w:lang w:val="pl-PL"/>
        </w:rPr>
        <w:t>dniem kwalifikowalności</w:t>
      </w:r>
      <w:r w:rsidR="006A0892" w:rsidRPr="00767038">
        <w:rPr>
          <w:lang w:val="pl-PL"/>
        </w:rPr>
        <w:t xml:space="preserve"> </w:t>
      </w:r>
      <w:r w:rsidRPr="00767038">
        <w:rPr>
          <w:lang w:val="pl-PL"/>
        </w:rPr>
        <w:t>do</w:t>
      </w:r>
      <w:r w:rsidR="006A0892" w:rsidRPr="00767038">
        <w:rPr>
          <w:lang w:val="pl-PL"/>
        </w:rPr>
        <w:t xml:space="preserve">finansowania </w:t>
      </w:r>
      <w:r w:rsidRPr="00767038">
        <w:rPr>
          <w:lang w:val="pl-PL"/>
        </w:rPr>
        <w:t xml:space="preserve">pomocy </w:t>
      </w:r>
      <w:r w:rsidR="00A35E94" w:rsidRPr="00767038">
        <w:rPr>
          <w:lang w:val="pl-PL"/>
        </w:rPr>
        <w:t>technicznej jest</w:t>
      </w:r>
      <w:r w:rsidRPr="00767038">
        <w:rPr>
          <w:lang w:val="pl-PL"/>
        </w:rPr>
        <w:t xml:space="preserve"> dzień złożenia ostatniego podpisu pod </w:t>
      </w:r>
      <w:proofErr w:type="spellStart"/>
      <w:r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 zawartym jako pierwsze. </w:t>
      </w:r>
    </w:p>
    <w:p w:rsidR="00D30A3F" w:rsidRPr="00767038" w:rsidRDefault="00A35E94" w:rsidP="00D30A3F">
      <w:pPr>
        <w:rPr>
          <w:lang w:val="pl-PL"/>
        </w:rPr>
      </w:pPr>
      <w:r w:rsidRPr="00767038">
        <w:rPr>
          <w:lang w:val="pl-PL"/>
        </w:rPr>
        <w:lastRenderedPageBreak/>
        <w:t>Ostatnim</w:t>
      </w:r>
      <w:r w:rsidR="003E6123" w:rsidRPr="00767038">
        <w:rPr>
          <w:lang w:val="pl-PL"/>
        </w:rPr>
        <w:t xml:space="preserve"> dniem</w:t>
      </w:r>
      <w:r w:rsidR="00D30A3F" w:rsidRPr="00767038">
        <w:rPr>
          <w:lang w:val="pl-PL"/>
        </w:rPr>
        <w:t xml:space="preserve"> kwalifikowalności wydatków </w:t>
      </w:r>
      <w:r w:rsidR="003E6123" w:rsidRPr="00767038">
        <w:rPr>
          <w:lang w:val="pl-PL"/>
        </w:rPr>
        <w:t>w ramach pomocy technicznej</w:t>
      </w:r>
      <w:r w:rsidR="00D30A3F" w:rsidRPr="00767038">
        <w:rPr>
          <w:lang w:val="pl-PL"/>
        </w:rPr>
        <w:t xml:space="preserve"> jest dzień 31 sierpnia 2025 r. Raport końcowy dla programu w zakresie </w:t>
      </w:r>
      <w:r w:rsidR="003E6123" w:rsidRPr="00767038">
        <w:rPr>
          <w:lang w:val="pl-PL"/>
        </w:rPr>
        <w:t xml:space="preserve">pomocy technicznej zostanie </w:t>
      </w:r>
      <w:r w:rsidRPr="00767038">
        <w:rPr>
          <w:lang w:val="pl-PL"/>
        </w:rPr>
        <w:t>przekazany</w:t>
      </w:r>
      <w:r w:rsidR="003E6123" w:rsidRPr="00767038">
        <w:rPr>
          <w:lang w:val="pl-PL"/>
        </w:rPr>
        <w:t xml:space="preserve"> </w:t>
      </w:r>
      <w:r w:rsidR="00D30A3F" w:rsidRPr="00767038">
        <w:rPr>
          <w:lang w:val="pl-PL"/>
        </w:rPr>
        <w:t>nie później niż do dnia 15 listopada 2025 r.</w:t>
      </w:r>
    </w:p>
    <w:p w:rsidR="006131F6" w:rsidRDefault="00D30A3F" w:rsidP="00D30A3F">
      <w:pPr>
        <w:rPr>
          <w:lang w:val="pl-PL"/>
        </w:rPr>
      </w:pPr>
      <w:r w:rsidRPr="00767038">
        <w:rPr>
          <w:lang w:val="pl-PL"/>
        </w:rPr>
        <w:t>Wydatki związane z przygotowaniem wdr</w:t>
      </w:r>
      <w:r w:rsidR="003E6123" w:rsidRPr="00767038">
        <w:rPr>
          <w:lang w:val="pl-PL"/>
        </w:rPr>
        <w:t>a</w:t>
      </w:r>
      <w:r w:rsidRPr="00767038">
        <w:rPr>
          <w:lang w:val="pl-PL"/>
        </w:rPr>
        <w:t>ż</w:t>
      </w:r>
      <w:r w:rsidR="003E6123" w:rsidRPr="00767038">
        <w:rPr>
          <w:lang w:val="pl-PL"/>
        </w:rPr>
        <w:t>a</w:t>
      </w:r>
      <w:r w:rsidRPr="00767038">
        <w:rPr>
          <w:lang w:val="pl-PL"/>
        </w:rPr>
        <w:t xml:space="preserve">nia Mechanizmów Finansowych na lata 2014-2021 (art. 8.11.8 i 8.11.2 lit. (i)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) mogą być kwalifikowalne </w:t>
      </w:r>
      <w:r w:rsidR="003E6123" w:rsidRPr="00767038">
        <w:rPr>
          <w:lang w:val="pl-PL"/>
        </w:rPr>
        <w:t xml:space="preserve">od </w:t>
      </w:r>
      <w:r w:rsidR="00A35E94" w:rsidRPr="00767038">
        <w:rPr>
          <w:lang w:val="pl-PL"/>
        </w:rPr>
        <w:t>daty powiadomienia</w:t>
      </w:r>
      <w:r w:rsidRPr="00767038">
        <w:rPr>
          <w:lang w:val="pl-PL"/>
        </w:rPr>
        <w:t xml:space="preserve">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o </w:t>
      </w:r>
      <w:r w:rsidR="003E6123" w:rsidRPr="00767038">
        <w:rPr>
          <w:lang w:val="pl-PL"/>
        </w:rPr>
        <w:t xml:space="preserve">wyznaczeniu </w:t>
      </w:r>
      <w:r w:rsidRPr="00767038">
        <w:rPr>
          <w:lang w:val="pl-PL"/>
        </w:rPr>
        <w:t xml:space="preserve">organu </w:t>
      </w:r>
      <w:r w:rsidR="003E6123" w:rsidRPr="00767038">
        <w:rPr>
          <w:lang w:val="pl-PL"/>
        </w:rPr>
        <w:t xml:space="preserve">odpowiedzialnego za </w:t>
      </w:r>
      <w:r w:rsidR="00A35E94" w:rsidRPr="00767038">
        <w:rPr>
          <w:lang w:val="pl-PL"/>
        </w:rPr>
        <w:t>negocjacje</w:t>
      </w:r>
      <w:r w:rsidR="003E6123" w:rsidRPr="00767038">
        <w:rPr>
          <w:lang w:val="pl-PL"/>
        </w:rPr>
        <w:t xml:space="preserve"> </w:t>
      </w:r>
      <w:proofErr w:type="spellStart"/>
      <w:r w:rsidR="003E6123" w:rsidRPr="00767038">
        <w:rPr>
          <w:lang w:val="pl-PL"/>
        </w:rPr>
        <w:t>MoU</w:t>
      </w:r>
      <w:proofErr w:type="spellEnd"/>
      <w:r w:rsidR="003E6123" w:rsidRPr="00767038">
        <w:rPr>
          <w:lang w:val="pl-PL"/>
        </w:rPr>
        <w:t xml:space="preserve"> przez Państwo-Beneficjenta</w:t>
      </w:r>
      <w:r w:rsidRPr="00767038">
        <w:rPr>
          <w:lang w:val="pl-PL"/>
        </w:rPr>
        <w:t xml:space="preserve">. Kwalifikowalność poniesionych wydatków jest uzależniona od podpisania </w:t>
      </w:r>
      <w:proofErr w:type="spellStart"/>
      <w:r w:rsidR="003E6123" w:rsidRPr="00767038">
        <w:rPr>
          <w:lang w:val="pl-PL"/>
        </w:rPr>
        <w:t>MoU</w:t>
      </w:r>
      <w:proofErr w:type="spellEnd"/>
      <w:r w:rsidR="003E6123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i może na przykład obejmować koszty podróży lub zakwaterowania i wynagrodzenia przedstawicieli KPK i odpowiednich ministerstw lub instytucji zaangażowanych w proces negocjacji </w:t>
      </w:r>
      <w:proofErr w:type="spellStart"/>
      <w:r w:rsidR="003E6123"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 lub wynagrodzenia pracowników KPK zaangażowanych w przygotowanie krajowych ram prawnych MF na lata 2014-2021 i inne, o ile takie wydatki są proporcjonalne i niezbędne.</w:t>
      </w:r>
    </w:p>
    <w:p w:rsidR="00767038" w:rsidRPr="00767038" w:rsidRDefault="00767038" w:rsidP="00D30A3F">
      <w:pPr>
        <w:rPr>
          <w:lang w:val="pl-PL"/>
        </w:rPr>
      </w:pPr>
    </w:p>
    <w:p w:rsidR="00583446" w:rsidRPr="00767038" w:rsidRDefault="00A56744" w:rsidP="00583446">
      <w:pPr>
        <w:pStyle w:val="Nagwek2"/>
        <w:rPr>
          <w:lang w:val="pl-PL"/>
        </w:rPr>
      </w:pPr>
      <w:bookmarkStart w:id="36" w:name="_Toc505238505"/>
      <w:bookmarkStart w:id="37" w:name="_Ref462062513"/>
      <w:r w:rsidRPr="00767038">
        <w:rPr>
          <w:iCs/>
          <w:lang w:val="pl-PL"/>
        </w:rPr>
        <w:t>Kwalifikowalność wydatków</w:t>
      </w:r>
      <w:bookmarkEnd w:id="36"/>
    </w:p>
    <w:bookmarkEnd w:id="37"/>
    <w:p w:rsidR="00CA1389" w:rsidRPr="00767038" w:rsidRDefault="00CA1389" w:rsidP="00C05DDD">
      <w:pPr>
        <w:rPr>
          <w:lang w:val="pl-PL"/>
        </w:rPr>
      </w:pPr>
      <w:r w:rsidRPr="00767038">
        <w:rPr>
          <w:lang w:val="pl-PL"/>
        </w:rPr>
        <w:t xml:space="preserve">Zasady opisane poniżej mają zastosowanie </w:t>
      </w:r>
      <w:r w:rsidR="00132DBF" w:rsidRPr="00767038">
        <w:rPr>
          <w:lang w:val="pl-PL"/>
        </w:rPr>
        <w:t>odpowiednio (</w:t>
      </w:r>
      <w:r w:rsidRPr="00767038">
        <w:rPr>
          <w:lang w:val="pl-PL"/>
        </w:rPr>
        <w:t>mutatis mutandis</w:t>
      </w:r>
      <w:r w:rsidR="00132DBF" w:rsidRPr="00767038">
        <w:rPr>
          <w:lang w:val="pl-PL"/>
        </w:rPr>
        <w:t>)</w:t>
      </w:r>
      <w:r w:rsidRPr="00767038">
        <w:rPr>
          <w:lang w:val="pl-PL"/>
        </w:rPr>
        <w:t xml:space="preserve"> do każdego rodzaju wydatków ponoszonych w ramach Mechanizmów Finansowych na lata 2014-2021.</w:t>
      </w:r>
    </w:p>
    <w:p w:rsidR="00CA1389" w:rsidRPr="00767038" w:rsidRDefault="00FB2938" w:rsidP="00CA1389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C1834" wp14:editId="17B95311">
                <wp:simplePos x="0" y="0"/>
                <wp:positionH relativeFrom="margin">
                  <wp:posOffset>2924175</wp:posOffset>
                </wp:positionH>
                <wp:positionV relativeFrom="paragraph">
                  <wp:posOffset>28575</wp:posOffset>
                </wp:positionV>
                <wp:extent cx="3044190" cy="2857500"/>
                <wp:effectExtent l="133350" t="0" r="22860" b="19050"/>
                <wp:wrapSquare wrapText="bothSides"/>
                <wp:docPr id="23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2857500"/>
                        </a:xfrm>
                        <a:prstGeom prst="wedgeRoundRectCallout">
                          <a:avLst>
                            <a:gd name="adj1" fmla="val -53999"/>
                            <a:gd name="adj2" fmla="val 305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2D7" w:rsidRPr="00265F1A" w:rsidRDefault="00C522D7" w:rsidP="00CA1389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Pozycja wydatków, kategoria wydatków i </w:t>
                            </w: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>linia/</w:t>
                            </w:r>
                            <w:r w:rsidRPr="00265F1A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>pozycja budżetowa</w:t>
                            </w:r>
                          </w:p>
                          <w:p w:rsidR="00C522D7" w:rsidRPr="00767038" w:rsidRDefault="00C522D7" w:rsidP="00CA1389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Pozycja wydatków jest jednym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pojedynczym 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wydatkiem możliwym do wydzielenia, np. fakturą, wynagrodzeniem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osobowym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lub kosztem materiałów biurowych. Kategoria wydatków jest po prostu grupą wydatków, np. amortyzacja wyposażenia, wynagrodzenia, koszty podróży. Pozycje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/linie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budżetowe służą grupowaniu wydatków, np. budżet programu zawiera oddzielną pozycję budżetową dla kosztów zarządzania i oddzielną pozycję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budżetową dla każdego rezultatu. </w:t>
                            </w:r>
                            <w:r w:rsidRPr="00767038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Przykładem pozycji budżetowej kosztów projektu (budżetu) są koszty personelu.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0" type="#_x0000_t62" style="position:absolute;left:0;text-align:left;margin-left:230.25pt;margin-top:2.25pt;width:239.7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" adj="-864,17394" fillcolor="white [3201]" strokecolor="black [3200]" strokeweight="1pt">
                <v:path arrowok="t"/>
                <v:textbox>
                  <w:txbxContent>
                    <w:p w:rsidR="00C522D7" w:rsidRPr="00265F1A" w:rsidRDefault="00C522D7" w:rsidP="00CA1389">
                      <w:pPr>
                        <w:jc w:val="left"/>
                        <w:rPr>
                          <w:b/>
                          <w:color w:val="4472C4" w:themeColor="accent5"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 xml:space="preserve">Pozycja wydatków, kategoria wydatków i </w:t>
                      </w:r>
                      <w:r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>linia/</w:t>
                      </w:r>
                      <w:r w:rsidRPr="00265F1A"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>pozycja budżetowa</w:t>
                      </w:r>
                    </w:p>
                    <w:p w:rsidR="00C522D7" w:rsidRPr="00767038" w:rsidRDefault="00C522D7" w:rsidP="00CA1389">
                      <w:pPr>
                        <w:jc w:val="left"/>
                        <w:rPr>
                          <w:b/>
                          <w:color w:val="4472C4" w:themeColor="accent5"/>
                          <w:sz w:val="18"/>
                          <w:lang w:val="pl-PL"/>
                        </w:rPr>
                      </w:pP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Pozycja wydatków jest jednym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pojedynczym 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>wydatkiem możliwym do wydzielenia, np. fakturą, wynagrodzeniem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osobowym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lub kosztem materiałów biurowych. Kategoria wydatków jest po prostu grupą wydatków, np. amortyzacja wyposażenia, wynagrodzenia, koszty podróży. Pozycje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/linie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budżetowe służą grupowaniu wydatków, np. budżet programu zawiera oddzielną pozycję budżetową dla kosztów zarządzania i oddzielną pozycję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budżetową dla każdego rezultatu. </w:t>
                      </w:r>
                      <w:r w:rsidRPr="00767038">
                        <w:rPr>
                          <w:color w:val="4472C4" w:themeColor="accent5"/>
                          <w:sz w:val="18"/>
                          <w:lang w:val="pl-PL"/>
                        </w:rPr>
                        <w:t>Przykładem pozycji budżetowej kosztów projektu (budżetu) są koszty personelu.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995" w:rsidRPr="00767038">
        <w:rPr>
          <w:lang w:val="pl-PL"/>
        </w:rPr>
        <w:t xml:space="preserve">Wydatki poniesione w ramach projektu zostaną uznane za kwalifikowalne, jeżeli będą spełniać kryteria kwalifikowalności określone w art. 8.2-6 </w:t>
      </w:r>
      <w:r w:rsidR="005A62D3" w:rsidRPr="00767038">
        <w:rPr>
          <w:lang w:val="pl-PL"/>
        </w:rPr>
        <w:t>Regulacji</w:t>
      </w:r>
      <w:r w:rsidR="00455995" w:rsidRPr="00767038">
        <w:rPr>
          <w:lang w:val="pl-PL"/>
        </w:rPr>
        <w:t xml:space="preserve"> w odniesieniu do wydatków </w:t>
      </w:r>
      <w:r w:rsidR="00132DBF" w:rsidRPr="00767038">
        <w:rPr>
          <w:lang w:val="pl-PL"/>
        </w:rPr>
        <w:t xml:space="preserve">rzeczywiście </w:t>
      </w:r>
      <w:r w:rsidR="00455995" w:rsidRPr="00767038">
        <w:rPr>
          <w:lang w:val="pl-PL"/>
        </w:rPr>
        <w:t xml:space="preserve">poniesionych przez </w:t>
      </w:r>
      <w:r w:rsidR="00132DBF" w:rsidRPr="00767038">
        <w:rPr>
          <w:lang w:val="pl-PL"/>
        </w:rPr>
        <w:t xml:space="preserve">beneficjenta </w:t>
      </w:r>
      <w:r w:rsidR="00455995" w:rsidRPr="00767038">
        <w:rPr>
          <w:lang w:val="pl-PL"/>
        </w:rPr>
        <w:t>i/lub partnera lub partnerów projektu.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 xml:space="preserve">Dokumenty </w:t>
      </w:r>
      <w:r w:rsidR="00132DBF" w:rsidRPr="00767038">
        <w:rPr>
          <w:lang w:val="pl-PL"/>
        </w:rPr>
        <w:t>uzupełniające</w:t>
      </w:r>
      <w:r w:rsidRPr="00767038">
        <w:rPr>
          <w:rStyle w:val="Odwoanieprzypisudolnego"/>
          <w:lang w:val="pl-PL"/>
        </w:rPr>
        <w:footnoteReference w:id="4"/>
      </w:r>
      <w:r w:rsidRPr="00767038">
        <w:rPr>
          <w:lang w:val="pl-PL"/>
        </w:rPr>
        <w:t xml:space="preserve"> dotyczące wydatków i audytów muszą być przechowywane albo w formie oryginałów, albo w </w:t>
      </w:r>
      <w:r w:rsidR="00132DBF" w:rsidRPr="00767038">
        <w:rPr>
          <w:lang w:val="pl-PL"/>
        </w:rPr>
        <w:t xml:space="preserve">kopiach poświadczonych za </w:t>
      </w:r>
      <w:r w:rsidRPr="00767038">
        <w:rPr>
          <w:lang w:val="pl-PL"/>
        </w:rPr>
        <w:t>zgodn</w:t>
      </w:r>
      <w:r w:rsidR="00132DBF" w:rsidRPr="00767038">
        <w:rPr>
          <w:lang w:val="pl-PL"/>
        </w:rPr>
        <w:t>ość</w:t>
      </w:r>
      <w:r w:rsidRPr="00767038">
        <w:rPr>
          <w:lang w:val="pl-PL"/>
        </w:rPr>
        <w:t xml:space="preserve"> z oryginał</w:t>
      </w:r>
      <w:r w:rsidR="00132DBF" w:rsidRPr="00767038">
        <w:rPr>
          <w:lang w:val="pl-PL"/>
        </w:rPr>
        <w:t>em</w:t>
      </w:r>
      <w:r w:rsidRPr="00767038">
        <w:rPr>
          <w:lang w:val="pl-PL"/>
        </w:rPr>
        <w:t xml:space="preserve"> przez okres co najmniej trzech lat </w:t>
      </w:r>
      <w:r w:rsidR="00132DBF" w:rsidRPr="00767038">
        <w:rPr>
          <w:lang w:val="pl-PL"/>
        </w:rPr>
        <w:t>od</w:t>
      </w:r>
      <w:r w:rsidRPr="00767038">
        <w:rPr>
          <w:lang w:val="pl-PL"/>
        </w:rPr>
        <w:t xml:space="preserve"> zatwierdzeni</w:t>
      </w:r>
      <w:r w:rsidR="00132DBF" w:rsidRPr="00767038">
        <w:rPr>
          <w:lang w:val="pl-PL"/>
        </w:rPr>
        <w:t>a</w:t>
      </w:r>
      <w:r w:rsidRPr="00767038">
        <w:rPr>
          <w:lang w:val="pl-PL"/>
        </w:rPr>
        <w:t xml:space="preserve"> R</w:t>
      </w:r>
      <w:r w:rsidR="00132DBF" w:rsidRPr="00767038">
        <w:rPr>
          <w:lang w:val="pl-PL"/>
        </w:rPr>
        <w:t>aportu końcowego dla programu</w:t>
      </w:r>
      <w:r w:rsidRPr="00767038">
        <w:rPr>
          <w:lang w:val="pl-PL"/>
        </w:rPr>
        <w:t xml:space="preserve"> (art. 9.8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), bez uszczerbku dla bardziej rygorystycznych zasad krajowych.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>Wydatki zostaną uznane za kwalifikowalne, jeżeli będą zgodne z postanowieniami następujących podsekcji.</w:t>
      </w:r>
    </w:p>
    <w:p w:rsidR="00CA1389" w:rsidRPr="00767038" w:rsidRDefault="00CA1389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 xml:space="preserve">Poniesienie wydatków między </w:t>
      </w:r>
      <w:r w:rsidR="00412044" w:rsidRPr="00767038">
        <w:rPr>
          <w:lang w:val="pl-PL"/>
        </w:rPr>
        <w:t>pierwszym</w:t>
      </w:r>
      <w:r w:rsidRPr="00767038">
        <w:rPr>
          <w:lang w:val="pl-PL"/>
        </w:rPr>
        <w:t xml:space="preserve"> </w:t>
      </w:r>
      <w:r w:rsidR="00412044" w:rsidRPr="00767038">
        <w:rPr>
          <w:lang w:val="pl-PL"/>
        </w:rPr>
        <w:t>a</w:t>
      </w:r>
      <w:r w:rsidRPr="00767038">
        <w:rPr>
          <w:lang w:val="pl-PL"/>
        </w:rPr>
        <w:t xml:space="preserve"> ostatni</w:t>
      </w:r>
      <w:r w:rsidR="00412044" w:rsidRPr="00767038">
        <w:rPr>
          <w:lang w:val="pl-PL"/>
        </w:rPr>
        <w:t>m</w:t>
      </w:r>
      <w:r w:rsidRPr="00767038">
        <w:rPr>
          <w:lang w:val="pl-PL"/>
        </w:rPr>
        <w:t xml:space="preserve"> </w:t>
      </w:r>
      <w:r w:rsidR="00412044" w:rsidRPr="00767038">
        <w:rPr>
          <w:lang w:val="pl-PL"/>
        </w:rPr>
        <w:t>dniem</w:t>
      </w:r>
      <w:r w:rsidRPr="00767038">
        <w:rPr>
          <w:lang w:val="pl-PL"/>
        </w:rPr>
        <w:t xml:space="preserve"> kwalifikowalności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>Kwalifikowalne są wyłącznie te koszty, które zosta</w:t>
      </w:r>
      <w:r w:rsidR="00412044" w:rsidRPr="00767038">
        <w:rPr>
          <w:lang w:val="pl-PL"/>
        </w:rPr>
        <w:t>ły</w:t>
      </w:r>
      <w:r w:rsidRPr="00767038">
        <w:rPr>
          <w:lang w:val="pl-PL"/>
        </w:rPr>
        <w:t xml:space="preserve"> poniesione w określ</w:t>
      </w:r>
      <w:r w:rsidR="007041C5" w:rsidRPr="00767038">
        <w:rPr>
          <w:lang w:val="pl-PL"/>
        </w:rPr>
        <w:t>onym okresie kwalifikowalności.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 xml:space="preserve">Na poziomie projektów poniesione wydatki kwalifikują się do dofinansowania z dniem, w którym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podejmie decyzję o przyznaniu dofinansowania</w:t>
      </w:r>
      <w:r w:rsidR="00412044" w:rsidRPr="00767038">
        <w:rPr>
          <w:lang w:val="pl-PL"/>
        </w:rPr>
        <w:t xml:space="preserve"> projektu</w:t>
      </w:r>
      <w:r w:rsidRPr="00767038">
        <w:rPr>
          <w:rStyle w:val="Odwoanieprzypisudolnego"/>
          <w:lang w:val="pl-PL"/>
        </w:rPr>
        <w:footnoteReference w:id="5"/>
      </w:r>
      <w:r w:rsidRPr="00767038">
        <w:rPr>
          <w:lang w:val="pl-PL"/>
        </w:rPr>
        <w:t xml:space="preserve">, chyba że w </w:t>
      </w:r>
      <w:r w:rsidR="00412044" w:rsidRPr="00767038">
        <w:rPr>
          <w:lang w:val="pl-PL"/>
        </w:rPr>
        <w:t>Umowie w sprawie programu</w:t>
      </w:r>
      <w:r w:rsidRPr="00767038">
        <w:rPr>
          <w:lang w:val="pl-PL"/>
        </w:rPr>
        <w:t xml:space="preserve">, </w:t>
      </w:r>
      <w:r w:rsidR="00412044" w:rsidRPr="00767038">
        <w:rPr>
          <w:lang w:val="pl-PL"/>
        </w:rPr>
        <w:t>U</w:t>
      </w:r>
      <w:r w:rsidRPr="00767038">
        <w:rPr>
          <w:lang w:val="pl-PL"/>
        </w:rPr>
        <w:t xml:space="preserve">mowie w sprawie realizacji programu lub </w:t>
      </w:r>
      <w:r w:rsidR="00412044" w:rsidRPr="00767038">
        <w:rPr>
          <w:lang w:val="pl-PL"/>
        </w:rPr>
        <w:t>U</w:t>
      </w:r>
      <w:r w:rsidRPr="00767038">
        <w:rPr>
          <w:lang w:val="pl-PL"/>
        </w:rPr>
        <w:t>mowie w sprawie projektu zostanie uzgodniona późniejsza data. Pierwsz</w:t>
      </w:r>
      <w:r w:rsidR="00412044" w:rsidRPr="00767038">
        <w:rPr>
          <w:lang w:val="pl-PL"/>
        </w:rPr>
        <w:t>a</w:t>
      </w:r>
      <w:r w:rsidRPr="00767038">
        <w:rPr>
          <w:lang w:val="pl-PL"/>
        </w:rPr>
        <w:t xml:space="preserve"> i końcow</w:t>
      </w:r>
      <w:r w:rsidR="00412044" w:rsidRPr="00767038">
        <w:rPr>
          <w:lang w:val="pl-PL"/>
        </w:rPr>
        <w:t>a</w:t>
      </w:r>
      <w:r w:rsidRPr="00767038">
        <w:rPr>
          <w:lang w:val="pl-PL"/>
        </w:rPr>
        <w:t xml:space="preserve"> dat</w:t>
      </w:r>
      <w:r w:rsidR="00412044" w:rsidRPr="00767038">
        <w:rPr>
          <w:lang w:val="pl-PL"/>
        </w:rPr>
        <w:t>a</w:t>
      </w:r>
      <w:r w:rsidRPr="00767038">
        <w:rPr>
          <w:lang w:val="pl-PL"/>
        </w:rPr>
        <w:t xml:space="preserve"> kwalifikowalności wydatków projektowych </w:t>
      </w:r>
      <w:r w:rsidR="00412044" w:rsidRPr="00767038">
        <w:rPr>
          <w:lang w:val="pl-PL"/>
        </w:rPr>
        <w:t xml:space="preserve">powinna zostać </w:t>
      </w:r>
      <w:r w:rsidRPr="00767038">
        <w:rPr>
          <w:lang w:val="pl-PL"/>
        </w:rPr>
        <w:t>określ</w:t>
      </w:r>
      <w:r w:rsidR="00412044" w:rsidRPr="00767038">
        <w:rPr>
          <w:lang w:val="pl-PL"/>
        </w:rPr>
        <w:t>ona</w:t>
      </w:r>
      <w:r w:rsidRPr="00767038">
        <w:rPr>
          <w:lang w:val="pl-PL"/>
        </w:rPr>
        <w:t xml:space="preserve"> w </w:t>
      </w:r>
      <w:r w:rsidR="00412044" w:rsidRPr="00767038">
        <w:rPr>
          <w:lang w:val="pl-PL"/>
        </w:rPr>
        <w:t>U</w:t>
      </w:r>
      <w:r w:rsidRPr="00767038">
        <w:rPr>
          <w:lang w:val="pl-PL"/>
        </w:rPr>
        <w:t xml:space="preserve">mowie w sprawie projektu. Końcowa data kwalifikowalności nie </w:t>
      </w:r>
      <w:r w:rsidR="00412044" w:rsidRPr="00767038">
        <w:rPr>
          <w:lang w:val="pl-PL"/>
        </w:rPr>
        <w:t xml:space="preserve">może </w:t>
      </w:r>
      <w:r w:rsidRPr="00767038">
        <w:rPr>
          <w:lang w:val="pl-PL"/>
        </w:rPr>
        <w:t>przypadać później niż</w:t>
      </w:r>
      <w:r w:rsidR="00412044" w:rsidRPr="00767038">
        <w:rPr>
          <w:lang w:val="pl-PL"/>
        </w:rPr>
        <w:t xml:space="preserve"> rok</w:t>
      </w:r>
      <w:r w:rsidRPr="00767038">
        <w:rPr>
          <w:lang w:val="pl-PL"/>
        </w:rPr>
        <w:t xml:space="preserve"> po planow</w:t>
      </w:r>
      <w:r w:rsidR="00412044" w:rsidRPr="00767038">
        <w:rPr>
          <w:lang w:val="pl-PL"/>
        </w:rPr>
        <w:t>anym</w:t>
      </w:r>
      <w:r w:rsidRPr="00767038">
        <w:rPr>
          <w:lang w:val="pl-PL"/>
        </w:rPr>
        <w:t xml:space="preserve"> zakończeni</w:t>
      </w:r>
      <w:r w:rsidR="00412044" w:rsidRPr="00767038">
        <w:rPr>
          <w:lang w:val="pl-PL"/>
        </w:rPr>
        <w:t>u</w:t>
      </w:r>
      <w:r w:rsidRPr="00767038">
        <w:rPr>
          <w:lang w:val="pl-PL"/>
        </w:rPr>
        <w:t xml:space="preserve"> projektu lub po dniu 30 kwietnia 2024 r., w zależności od tego, która z tych dat będzie wcześniejsza. (art. 8.13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 xml:space="preserve">W przypadku projektu </w:t>
      </w:r>
      <w:r w:rsidR="00412044" w:rsidRPr="00767038">
        <w:rPr>
          <w:lang w:val="pl-PL"/>
        </w:rPr>
        <w:t xml:space="preserve">predefiniowanego </w:t>
      </w:r>
      <w:r w:rsidRPr="00767038">
        <w:rPr>
          <w:lang w:val="pl-PL"/>
        </w:rPr>
        <w:t xml:space="preserve">początkowa data kwalifikowalności nie powinna przypadać wcześniej niż przed dniem, w którym KPK zawiadomi BMF o pozytywnej ocenie </w:t>
      </w:r>
      <w:r w:rsidR="0064787C" w:rsidRPr="00767038">
        <w:rPr>
          <w:lang w:val="pl-PL"/>
        </w:rPr>
        <w:t xml:space="preserve">tego </w:t>
      </w:r>
      <w:r w:rsidRPr="00767038">
        <w:rPr>
          <w:lang w:val="pl-PL"/>
        </w:rPr>
        <w:t xml:space="preserve">projektu </w:t>
      </w:r>
      <w:r w:rsidR="0064787C" w:rsidRPr="00767038">
        <w:rPr>
          <w:lang w:val="pl-PL"/>
        </w:rPr>
        <w:t xml:space="preserve">predefiniowanego </w:t>
      </w:r>
      <w:r w:rsidRPr="00767038">
        <w:rPr>
          <w:lang w:val="pl-PL"/>
        </w:rPr>
        <w:t xml:space="preserve">przez </w:t>
      </w:r>
      <w:r w:rsidR="00315981" w:rsidRPr="00767038">
        <w:rPr>
          <w:lang w:val="pl-PL"/>
        </w:rPr>
        <w:t>Operator</w:t>
      </w:r>
      <w:r w:rsidR="0064787C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(art. 6.5.3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).</w:t>
      </w:r>
    </w:p>
    <w:p w:rsidR="00CA1389" w:rsidRPr="00767038" w:rsidRDefault="00CA1389" w:rsidP="00C27B08">
      <w:pPr>
        <w:pStyle w:val="Nagwek3"/>
        <w:rPr>
          <w:lang w:val="pl-PL"/>
        </w:rPr>
      </w:pPr>
      <w:r w:rsidRPr="00767038">
        <w:rPr>
          <w:lang w:val="pl-PL"/>
        </w:rPr>
        <w:t>Powiązanie z przedmiotem umowy w sprawie projektu i wskazanie w budżecie</w:t>
      </w:r>
    </w:p>
    <w:p w:rsidR="00CA1389" w:rsidRPr="00767038" w:rsidRDefault="00A35E94" w:rsidP="00CA1389">
      <w:pPr>
        <w:rPr>
          <w:lang w:val="pl-PL"/>
        </w:rPr>
      </w:pPr>
      <w:r w:rsidRPr="00767038">
        <w:rPr>
          <w:lang w:val="pl-PL"/>
        </w:rPr>
        <w:t>Szczegółowy</w:t>
      </w:r>
      <w:r w:rsidR="0064787C" w:rsidRPr="00767038">
        <w:rPr>
          <w:lang w:val="pl-PL"/>
        </w:rPr>
        <w:t xml:space="preserve"> budżet projektu powinien zawierać oszacowanie</w:t>
      </w:r>
      <w:r w:rsidR="00CA1389" w:rsidRPr="00767038">
        <w:rPr>
          <w:lang w:val="pl-PL"/>
        </w:rPr>
        <w:t xml:space="preserve"> kwalifikowalnych wydatków. Jednej i tej samej pozycji wydatków w jednej pozycji</w:t>
      </w:r>
      <w:r w:rsidR="0064787C" w:rsidRPr="00767038">
        <w:rPr>
          <w:lang w:val="pl-PL"/>
        </w:rPr>
        <w:t>/linii</w:t>
      </w:r>
      <w:r w:rsidR="00CA1389" w:rsidRPr="00767038">
        <w:rPr>
          <w:lang w:val="pl-PL"/>
        </w:rPr>
        <w:t xml:space="preserve"> budżetu nie można raportować i pokrywa</w:t>
      </w:r>
      <w:r w:rsidR="001D0157" w:rsidRPr="00767038">
        <w:rPr>
          <w:lang w:val="pl-PL"/>
        </w:rPr>
        <w:t>ć w innej pozycji</w:t>
      </w:r>
      <w:r w:rsidR="0064787C" w:rsidRPr="00767038">
        <w:rPr>
          <w:lang w:val="pl-PL"/>
        </w:rPr>
        <w:t>/linii</w:t>
      </w:r>
      <w:r w:rsidR="001D0157" w:rsidRPr="00767038">
        <w:rPr>
          <w:lang w:val="pl-PL"/>
        </w:rPr>
        <w:t xml:space="preserve"> budżetu.</w:t>
      </w:r>
    </w:p>
    <w:p w:rsidR="00CA1389" w:rsidRPr="00767038" w:rsidRDefault="003B5C3F" w:rsidP="00CA1389">
      <w:pPr>
        <w:rPr>
          <w:lang w:val="pl-PL"/>
        </w:rPr>
      </w:pPr>
      <w:r w:rsidRPr="00767038">
        <w:rPr>
          <w:lang w:val="pl-PL"/>
        </w:rPr>
        <w:t xml:space="preserve">Wnioski projektowe powinny </w:t>
      </w:r>
      <w:r w:rsidR="0064787C" w:rsidRPr="00767038">
        <w:rPr>
          <w:lang w:val="pl-PL"/>
        </w:rPr>
        <w:t xml:space="preserve">zawierać </w:t>
      </w:r>
      <w:r w:rsidRPr="00767038">
        <w:rPr>
          <w:lang w:val="pl-PL"/>
        </w:rPr>
        <w:t xml:space="preserve">szczegółowy budżet szacunkowy. Na etapie wyboru projektów należy sprawdzić kwalifikowalność wydatków zawartych w </w:t>
      </w:r>
      <w:r w:rsidR="0064787C" w:rsidRPr="00767038">
        <w:rPr>
          <w:lang w:val="pl-PL"/>
        </w:rPr>
        <w:t>budżecie</w:t>
      </w:r>
      <w:r w:rsidRPr="00767038">
        <w:rPr>
          <w:lang w:val="pl-PL"/>
        </w:rPr>
        <w:t xml:space="preserve"> projektu. Zgodnie z art. 7.6.3 lit. (k)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</w:t>
      </w:r>
      <w:r w:rsidR="0064787C" w:rsidRPr="00767038">
        <w:rPr>
          <w:lang w:val="pl-PL"/>
        </w:rPr>
        <w:t>szczegółowy budżet</w:t>
      </w:r>
      <w:r w:rsidRPr="00767038">
        <w:rPr>
          <w:lang w:val="pl-PL"/>
        </w:rPr>
        <w:t xml:space="preserve"> projektu stanowi część </w:t>
      </w:r>
      <w:r w:rsidR="0064787C" w:rsidRPr="00767038">
        <w:rPr>
          <w:lang w:val="pl-PL"/>
        </w:rPr>
        <w:t>U</w:t>
      </w:r>
      <w:r w:rsidRPr="00767038">
        <w:rPr>
          <w:lang w:val="pl-PL"/>
        </w:rPr>
        <w:t xml:space="preserve">mowy w sprawie projektu. Ostateczną kwotę dofinansowania wylicza się na podstawie zaakceptowanych rzeczywistych kosztów kwalifikowalnych projektu. Jeżeli rzeczywiste koszty projektu okażą się wyższe niż koszty budżetowe, maksymalna kwota dofinansowania (określona w </w:t>
      </w:r>
      <w:r w:rsidR="0064787C" w:rsidRPr="00767038">
        <w:rPr>
          <w:lang w:val="pl-PL"/>
        </w:rPr>
        <w:t>U</w:t>
      </w:r>
      <w:r w:rsidRPr="00767038">
        <w:rPr>
          <w:lang w:val="pl-PL"/>
        </w:rPr>
        <w:t xml:space="preserve">mowie w sprawie projektu) nie zostanie </w:t>
      </w:r>
      <w:r w:rsidR="0064787C" w:rsidRPr="00767038">
        <w:rPr>
          <w:lang w:val="pl-PL"/>
        </w:rPr>
        <w:t>zwiększona</w:t>
      </w:r>
      <w:r w:rsidRPr="00767038">
        <w:rPr>
          <w:lang w:val="pl-PL"/>
        </w:rPr>
        <w:t xml:space="preserve">. </w:t>
      </w:r>
    </w:p>
    <w:p w:rsidR="00CA1389" w:rsidRPr="00767038" w:rsidRDefault="00CA1389" w:rsidP="00C27B08">
      <w:pPr>
        <w:pStyle w:val="Nagwek3"/>
        <w:rPr>
          <w:lang w:val="pl-PL"/>
        </w:rPr>
      </w:pPr>
      <w:r w:rsidRPr="00767038">
        <w:rPr>
          <w:lang w:val="pl-PL"/>
        </w:rPr>
        <w:t>Proporcjonalność i niezbędność dla realizacji projektu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 xml:space="preserve">Koszty muszą być racjonalne i uzasadnione. 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b/>
          <w:bCs/>
          <w:lang w:val="pl-PL"/>
        </w:rPr>
        <w:t>Proporcjonalne:</w:t>
      </w:r>
      <w:r w:rsidR="007041C5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nie przekraczają kosztów niezbędnych w celu osiągnięcia zamierzonego celu. Można to na przykład ocenić przez porównanie cen lub uwzględnienie innych środków, które mogą służyć osiągnięciu takiego samego wyniku (jakość do ceny). 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b/>
          <w:bCs/>
          <w:lang w:val="pl-PL"/>
        </w:rPr>
        <w:t>Niezbędne:</w:t>
      </w:r>
      <w:r w:rsidRPr="00767038">
        <w:rPr>
          <w:lang w:val="pl-PL"/>
        </w:rPr>
        <w:t xml:space="preserve"> pozycja wydatków jest rzeczywiście niezbędna (nieodzowna) w celu osiągnięcia </w:t>
      </w:r>
      <w:r w:rsidR="0064787C" w:rsidRPr="00767038">
        <w:rPr>
          <w:lang w:val="pl-PL"/>
        </w:rPr>
        <w:t>rezultatów</w:t>
      </w:r>
      <w:r w:rsidRPr="00767038">
        <w:rPr>
          <w:lang w:val="pl-PL"/>
        </w:rPr>
        <w:t>.</w:t>
      </w:r>
    </w:p>
    <w:p w:rsidR="00CA1389" w:rsidRPr="00767038" w:rsidRDefault="00CA1389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 xml:space="preserve">Wykorzystanie wyłącznie na </w:t>
      </w:r>
      <w:r w:rsidR="0064787C" w:rsidRPr="00767038">
        <w:rPr>
          <w:lang w:val="pl-PL"/>
        </w:rPr>
        <w:t>realizację</w:t>
      </w:r>
      <w:r w:rsidRPr="00767038">
        <w:rPr>
          <w:lang w:val="pl-PL"/>
        </w:rPr>
        <w:t xml:space="preserve"> celu lub celów projektu i </w:t>
      </w:r>
      <w:r w:rsidR="00AA03F4" w:rsidRPr="00767038">
        <w:rPr>
          <w:lang w:val="pl-PL"/>
        </w:rPr>
        <w:t xml:space="preserve">jego </w:t>
      </w:r>
      <w:r w:rsidRPr="00767038">
        <w:rPr>
          <w:lang w:val="pl-PL"/>
        </w:rPr>
        <w:t>oczekiwan</w:t>
      </w:r>
      <w:r w:rsidR="00AA03F4" w:rsidRPr="00767038">
        <w:rPr>
          <w:lang w:val="pl-PL"/>
        </w:rPr>
        <w:t>ego</w:t>
      </w:r>
      <w:r w:rsidRPr="00767038">
        <w:rPr>
          <w:lang w:val="pl-PL"/>
        </w:rPr>
        <w:t xml:space="preserve"> </w:t>
      </w:r>
      <w:r w:rsidR="00AA03F4" w:rsidRPr="00767038">
        <w:rPr>
          <w:lang w:val="pl-PL"/>
        </w:rPr>
        <w:t>rezultatu</w:t>
      </w:r>
      <w:r w:rsidRPr="00767038">
        <w:rPr>
          <w:lang w:val="pl-PL"/>
        </w:rPr>
        <w:t xml:space="preserve"> lub </w:t>
      </w:r>
      <w:r w:rsidR="00AA03F4" w:rsidRPr="00767038">
        <w:rPr>
          <w:lang w:val="pl-PL"/>
        </w:rPr>
        <w:t>rezultatów</w:t>
      </w:r>
      <w:r w:rsidRPr="00767038">
        <w:rPr>
          <w:lang w:val="pl-PL"/>
        </w:rPr>
        <w:t xml:space="preserve"> w sposób zgodny z zasadami </w:t>
      </w:r>
      <w:r w:rsidR="00AA03F4" w:rsidRPr="00767038">
        <w:rPr>
          <w:lang w:val="pl-PL"/>
        </w:rPr>
        <w:t>gospodarności</w:t>
      </w:r>
      <w:r w:rsidRPr="00767038">
        <w:rPr>
          <w:lang w:val="pl-PL"/>
        </w:rPr>
        <w:t>, skuteczności i efektywności.</w:t>
      </w:r>
    </w:p>
    <w:p w:rsidR="00CA1389" w:rsidRPr="00767038" w:rsidRDefault="00FB2938" w:rsidP="00CA1389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4744A" wp14:editId="14DE0ECE">
                <wp:simplePos x="0" y="0"/>
                <wp:positionH relativeFrom="margin">
                  <wp:posOffset>3429000</wp:posOffset>
                </wp:positionH>
                <wp:positionV relativeFrom="paragraph">
                  <wp:posOffset>143510</wp:posOffset>
                </wp:positionV>
                <wp:extent cx="2386965" cy="1845945"/>
                <wp:effectExtent l="9525" t="10160" r="13335" b="10795"/>
                <wp:wrapSquare wrapText="bothSides"/>
                <wp:docPr id="22" name="Rounded 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1845945"/>
                        </a:xfrm>
                        <a:prstGeom prst="wedgeRoundRectCallout">
                          <a:avLst>
                            <a:gd name="adj1" fmla="val -20843"/>
                            <a:gd name="adj2" fmla="val 4694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CA1389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W przypadku zakupu używanego wyposażenia za wydatek kwalifikowalny można uznać wyłącznie część amortyzacji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odpowiadającej czasowi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trwania projektu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oraz stopniowi faktycznego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wykorzystania na potrzeby projektu (art. 8.2.4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Regulacji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" o:spid="_x0000_s1031" type="#_x0000_t62" style="position:absolute;left:0;text-align:left;margin-left:270pt;margin-top:11.3pt;width:187.95pt;height:1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" adj="6298,20939" fillcolor="white [3201]" strokecolor="black [3200]" strokeweight="1pt">
                <v:textbox>
                  <w:txbxContent>
                    <w:p w:rsidR="00C522D7" w:rsidRPr="00265F1A" w:rsidRDefault="00C522D7" w:rsidP="00CA1389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W przypadku zakupu używanego wyposażenia za wydatek kwalifikowalny można uznać wyłącznie część amortyzacji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odpowiadającej czasowi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trwania projektu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oraz stopniowi faktycznego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wykorzystania na potrzeby projektu (art. 8.2.4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Regulacji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389" w:rsidRPr="00767038">
        <w:rPr>
          <w:lang w:val="pl-PL"/>
        </w:rPr>
        <w:t xml:space="preserve">Wydatki należy uznać za kwalifikowalne jedynie wówczas, gdy zostały poniesione w celu osiągnięcia celu lub celów </w:t>
      </w:r>
      <w:r w:rsidR="007F725E">
        <w:rPr>
          <w:lang w:val="pl-PL"/>
        </w:rPr>
        <w:t>danego</w:t>
      </w:r>
      <w:r w:rsidR="00CA1389" w:rsidRPr="00767038">
        <w:rPr>
          <w:lang w:val="pl-PL"/>
        </w:rPr>
        <w:t xml:space="preserve"> projektu i oczekiwanych wyników.</w:t>
      </w:r>
    </w:p>
    <w:p w:rsidR="00CA1389" w:rsidRPr="00767038" w:rsidRDefault="00AA03F4" w:rsidP="00CA1389">
      <w:pPr>
        <w:rPr>
          <w:lang w:val="pl-PL"/>
        </w:rPr>
      </w:pPr>
      <w:r w:rsidRPr="00767038">
        <w:rPr>
          <w:lang w:val="pl-PL"/>
        </w:rPr>
        <w:t xml:space="preserve">Gospodarność </w:t>
      </w:r>
      <w:r w:rsidR="00CA1389" w:rsidRPr="00767038">
        <w:rPr>
          <w:lang w:val="pl-PL"/>
        </w:rPr>
        <w:t xml:space="preserve">można rozumieć jako minimalizację kosztów </w:t>
      </w:r>
      <w:r w:rsidRPr="00767038">
        <w:rPr>
          <w:lang w:val="pl-PL"/>
        </w:rPr>
        <w:t xml:space="preserve">zasobów </w:t>
      </w:r>
      <w:r w:rsidR="00CA1389" w:rsidRPr="00767038">
        <w:rPr>
          <w:lang w:val="pl-PL"/>
        </w:rPr>
        <w:t>wykorzystywanych na potrzeby działania (wkładu), mając na uwadze odpowiednią jakość. Skuteczność odnosi się do wytworzenia lub dostarczenia rzeczy bez marnotrawienia materiałów, czasu lub energii. Efektywność kosztowa odnosi się do stopnia, w jaki</w:t>
      </w:r>
      <w:r w:rsidR="007041C5" w:rsidRPr="00767038">
        <w:rPr>
          <w:lang w:val="pl-PL"/>
        </w:rPr>
        <w:t>m</w:t>
      </w:r>
      <w:r w:rsidR="00CA1389" w:rsidRPr="00767038">
        <w:rPr>
          <w:lang w:val="pl-PL"/>
        </w:rPr>
        <w:t xml:space="preserve"> poniesiony koszt przyczynia się do osiągnięcia określonego wyniku lub celu.</w:t>
      </w:r>
    </w:p>
    <w:p w:rsidR="00B92E66" w:rsidRPr="00767038" w:rsidRDefault="00FB2938" w:rsidP="00CA1389">
      <w:pPr>
        <w:rPr>
          <w:lang w:val="pl-PL"/>
        </w:rPr>
      </w:pPr>
      <w:r>
        <w:rPr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5EAB919" wp14:editId="38CBB9C4">
                <wp:simplePos x="0" y="0"/>
                <wp:positionH relativeFrom="margin">
                  <wp:posOffset>-19685</wp:posOffset>
                </wp:positionH>
                <wp:positionV relativeFrom="paragraph">
                  <wp:posOffset>83185</wp:posOffset>
                </wp:positionV>
                <wp:extent cx="5667375" cy="1867535"/>
                <wp:effectExtent l="0" t="0" r="28575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67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CA1389">
                            <w:pPr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Przykład: </w:t>
                            </w:r>
                          </w:p>
                          <w:p w:rsidR="00C522D7" w:rsidRPr="00265F1A" w:rsidRDefault="00C522D7" w:rsidP="00CA1389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Jeżeli w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typowych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 zasadach rachunkowości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beneficjenta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 i/lub partnera projektu określony koszt zostanie uznany za koszt pośredni, musi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 xml:space="preserve">być 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wówczas rozważony także jako koszt pośredni w projekcie w ramach Mechanizmu Finansowego EOG i Norweskiego Mechanizmu Finansowego. </w:t>
                            </w:r>
                          </w:p>
                          <w:p w:rsidR="00C522D7" w:rsidRPr="00265F1A" w:rsidRDefault="00C522D7" w:rsidP="00CA1389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Jeżeli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beneficjent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 i/lub partner projektu musi wprowadzić zmiany w celu dostosowania „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 xml:space="preserve">typowych” 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praktyk rachunkowości do pozostałych postanowień umowy w sprawie projektu i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Regulacji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 (np. praktyk rejestracji czasu, wyliczenia kosztów pośrednich, podejścia opartego na produktywnej godzinie itd.), oczywiste jest, że takie zamiany są nie tylko możliwe, lecz niezbędne.</w:t>
                            </w:r>
                          </w:p>
                          <w:p w:rsidR="00C522D7" w:rsidRPr="00265F1A" w:rsidRDefault="00C522D7" w:rsidP="00CA1389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55pt;margin-top:6.55pt;width:446.25pt;height:147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" fillcolor="white [3212]" strokecolor="black [3213]">
                <v:textbox>
                  <w:txbxContent>
                    <w:p w:rsidR="00C522D7" w:rsidRPr="00265F1A" w:rsidRDefault="00C522D7" w:rsidP="00CA1389">
                      <w:pPr>
                        <w:rPr>
                          <w:b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Przykład: </w:t>
                      </w:r>
                    </w:p>
                    <w:p w:rsidR="00C522D7" w:rsidRPr="00265F1A" w:rsidRDefault="00C522D7" w:rsidP="00CA1389">
                      <w:pPr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 xml:space="preserve">Jeżeli w </w:t>
                      </w:r>
                      <w:r>
                        <w:rPr>
                          <w:sz w:val="18"/>
                          <w:lang w:val="pl-PL"/>
                        </w:rPr>
                        <w:t>typowych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 zasadach rachunkowości </w:t>
                      </w:r>
                      <w:r>
                        <w:rPr>
                          <w:sz w:val="18"/>
                          <w:lang w:val="pl-PL"/>
                        </w:rPr>
                        <w:t>beneficjenta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 i/lub partnera projektu określony koszt zostanie uznany za koszt pośredni, musi </w:t>
                      </w:r>
                      <w:r>
                        <w:rPr>
                          <w:sz w:val="18"/>
                          <w:lang w:val="pl-PL"/>
                        </w:rPr>
                        <w:t xml:space="preserve">być 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wówczas rozważony także jako koszt pośredni w projekcie w ramach Mechanizmu Finansowego EOG i Norweskiego Mechanizmu Finansowego. </w:t>
                      </w:r>
                    </w:p>
                    <w:p w:rsidR="00C522D7" w:rsidRPr="00265F1A" w:rsidRDefault="00C522D7" w:rsidP="00CA1389">
                      <w:pPr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 xml:space="preserve">Jeżeli </w:t>
                      </w:r>
                      <w:r>
                        <w:rPr>
                          <w:sz w:val="18"/>
                          <w:lang w:val="pl-PL"/>
                        </w:rPr>
                        <w:t>beneficjent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 i/lub partner projektu musi wprowadzić zmiany w celu dostosowania „</w:t>
                      </w:r>
                      <w:r>
                        <w:rPr>
                          <w:sz w:val="18"/>
                          <w:lang w:val="pl-PL"/>
                        </w:rPr>
                        <w:t xml:space="preserve">typowych” 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praktyk rachunkowości do pozostałych postanowień umowy w sprawie projektu i </w:t>
                      </w:r>
                      <w:r>
                        <w:rPr>
                          <w:sz w:val="18"/>
                          <w:lang w:val="pl-PL"/>
                        </w:rPr>
                        <w:t>Regulacji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 (np. praktyk rejestracji czasu, wyliczenia kosztów pośrednich, podejścia opartego na produktywnej godzinie itd.), oczywiste jest, że takie zamiany są nie tylko możliwe, lecz niezbędne.</w:t>
                      </w:r>
                    </w:p>
                    <w:p w:rsidR="00C522D7" w:rsidRPr="00265F1A" w:rsidRDefault="00C522D7" w:rsidP="00CA1389">
                      <w:pPr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389" w:rsidRPr="00767038" w:rsidRDefault="00CA1389" w:rsidP="00C27B08">
      <w:pPr>
        <w:pStyle w:val="Nagwek3"/>
        <w:rPr>
          <w:lang w:val="pl-PL"/>
        </w:rPr>
      </w:pPr>
      <w:r w:rsidRPr="00767038">
        <w:rPr>
          <w:lang w:val="pl-PL"/>
        </w:rPr>
        <w:t>Możliwość identyfikacji i weryfikacji oraz odpowiedni</w:t>
      </w:r>
      <w:r w:rsidR="007041C5" w:rsidRPr="00767038">
        <w:rPr>
          <w:lang w:val="pl-PL"/>
        </w:rPr>
        <w:t>a</w:t>
      </w:r>
      <w:r w:rsidRPr="00767038">
        <w:rPr>
          <w:lang w:val="pl-PL"/>
        </w:rPr>
        <w:t xml:space="preserve"> </w:t>
      </w:r>
      <w:r w:rsidR="007041C5" w:rsidRPr="00767038">
        <w:rPr>
          <w:lang w:val="pl-PL"/>
        </w:rPr>
        <w:t>rejestracja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 xml:space="preserve">Koszty muszą być identyfikowalne, weryfikowalne i udokumentowane (np. na podstawie umowy, faktury, zamówienia), w szczególności </w:t>
      </w:r>
      <w:r w:rsidR="00B92E66" w:rsidRPr="00767038">
        <w:rPr>
          <w:lang w:val="pl-PL"/>
        </w:rPr>
        <w:t xml:space="preserve">poprzez wprowadzenie do ewidencji </w:t>
      </w:r>
      <w:r w:rsidR="00A35E94" w:rsidRPr="00767038">
        <w:rPr>
          <w:lang w:val="pl-PL"/>
        </w:rPr>
        <w:t>księgowej beneficjenta</w:t>
      </w:r>
      <w:r w:rsidRPr="00767038">
        <w:rPr>
          <w:lang w:val="pl-PL"/>
        </w:rPr>
        <w:t xml:space="preserve"> i/lub partnerów projektu </w:t>
      </w:r>
      <w:r w:rsidR="006E2DC2" w:rsidRPr="00767038">
        <w:rPr>
          <w:lang w:val="pl-PL"/>
        </w:rPr>
        <w:t xml:space="preserve">oraz ustalone </w:t>
      </w:r>
      <w:r w:rsidRPr="00767038">
        <w:rPr>
          <w:lang w:val="pl-PL"/>
        </w:rPr>
        <w:t xml:space="preserve">zgodnie z </w:t>
      </w:r>
      <w:r w:rsidR="006E2DC2" w:rsidRPr="00767038">
        <w:rPr>
          <w:lang w:val="pl-PL"/>
        </w:rPr>
        <w:t>obowiązującymi</w:t>
      </w:r>
      <w:r w:rsidRPr="00767038">
        <w:rPr>
          <w:lang w:val="pl-PL"/>
        </w:rPr>
        <w:t xml:space="preserve"> standardami rachunkowości </w:t>
      </w:r>
      <w:r w:rsidR="006E2DC2" w:rsidRPr="00767038">
        <w:rPr>
          <w:lang w:val="pl-PL"/>
        </w:rPr>
        <w:t>kraju</w:t>
      </w:r>
      <w:r w:rsidRPr="00767038">
        <w:rPr>
          <w:lang w:val="pl-PL"/>
        </w:rPr>
        <w:t xml:space="preserve">, w którym </w:t>
      </w:r>
      <w:r w:rsidR="006E2DC2" w:rsidRPr="00767038">
        <w:rPr>
          <w:lang w:val="pl-PL"/>
        </w:rPr>
        <w:t xml:space="preserve">beneficjent </w:t>
      </w:r>
      <w:r w:rsidRPr="00767038">
        <w:rPr>
          <w:lang w:val="pl-PL"/>
        </w:rPr>
        <w:t>i/lub partner projektu posiada siedzibę, i zgodn</w:t>
      </w:r>
      <w:r w:rsidR="007041C5" w:rsidRPr="00767038">
        <w:rPr>
          <w:lang w:val="pl-PL"/>
        </w:rPr>
        <w:t>i</w:t>
      </w:r>
      <w:r w:rsidRPr="00767038">
        <w:rPr>
          <w:lang w:val="pl-PL"/>
        </w:rPr>
        <w:t xml:space="preserve">e z </w:t>
      </w:r>
      <w:r w:rsidR="006E2DC2" w:rsidRPr="00767038">
        <w:rPr>
          <w:lang w:val="pl-PL"/>
        </w:rPr>
        <w:t xml:space="preserve">ogólnie </w:t>
      </w:r>
      <w:r w:rsidRPr="00767038">
        <w:rPr>
          <w:lang w:val="pl-PL"/>
        </w:rPr>
        <w:t>przyjętymi zasadami rachunkowości.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>Koszty, które nie są identyfikowalne, weryfikowalne i odpowiednio zarejestrowane, ni</w:t>
      </w:r>
      <w:r w:rsidR="007041C5" w:rsidRPr="00767038">
        <w:rPr>
          <w:lang w:val="pl-PL"/>
        </w:rPr>
        <w:t xml:space="preserve">e są kwalifikowalne. </w:t>
      </w:r>
      <w:r w:rsidRPr="00767038">
        <w:rPr>
          <w:lang w:val="pl-PL"/>
        </w:rPr>
        <w:t xml:space="preserve">Jeżeli </w:t>
      </w:r>
      <w:r w:rsidR="006E2DC2" w:rsidRPr="00767038">
        <w:rPr>
          <w:lang w:val="pl-PL"/>
        </w:rPr>
        <w:t>beneficjent</w:t>
      </w:r>
      <w:r w:rsidRPr="00767038">
        <w:rPr>
          <w:lang w:val="pl-PL"/>
        </w:rPr>
        <w:t xml:space="preserve"> wybiera sposób obciążania kosztami pośrednimi przy wykorzystaniu stawki </w:t>
      </w:r>
      <w:r w:rsidR="006E2DC2" w:rsidRPr="00767038">
        <w:rPr>
          <w:lang w:val="pl-PL"/>
        </w:rPr>
        <w:t>zryczałtowanej</w:t>
      </w:r>
      <w:r w:rsidRPr="00767038">
        <w:rPr>
          <w:lang w:val="pl-PL"/>
        </w:rPr>
        <w:t xml:space="preserve">, kosztów pośrednich nie trzeba potwierdzać dodatkowymi dowodami. </w:t>
      </w:r>
    </w:p>
    <w:p w:rsidR="00CA1389" w:rsidRPr="00767038" w:rsidRDefault="00CA1389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Zgodność z </w:t>
      </w:r>
      <w:r w:rsidR="00A35E94" w:rsidRPr="00767038">
        <w:rPr>
          <w:lang w:val="pl-PL"/>
        </w:rPr>
        <w:t>wymogami obowiązującego</w:t>
      </w:r>
      <w:r w:rsidR="006E2DC2" w:rsidRPr="00767038">
        <w:rPr>
          <w:lang w:val="pl-PL"/>
        </w:rPr>
        <w:t xml:space="preserve"> prawodawstwa</w:t>
      </w:r>
      <w:r w:rsidRPr="00767038">
        <w:rPr>
          <w:lang w:val="pl-PL"/>
        </w:rPr>
        <w:t xml:space="preserve"> podatkowego i </w:t>
      </w:r>
      <w:r w:rsidR="006E2DC2" w:rsidRPr="00767038">
        <w:rPr>
          <w:lang w:val="pl-PL"/>
        </w:rPr>
        <w:t>socjalnego</w:t>
      </w:r>
      <w:r w:rsidRPr="00767038">
        <w:rPr>
          <w:lang w:val="pl-PL"/>
        </w:rPr>
        <w:t xml:space="preserve"> </w:t>
      </w:r>
    </w:p>
    <w:p w:rsidR="00CA1389" w:rsidRPr="00767038" w:rsidRDefault="00CA1389" w:rsidP="00CA1389">
      <w:pPr>
        <w:rPr>
          <w:lang w:val="pl-PL"/>
        </w:rPr>
      </w:pPr>
      <w:r w:rsidRPr="00767038">
        <w:rPr>
          <w:lang w:val="pl-PL"/>
        </w:rPr>
        <w:t xml:space="preserve">Należy przestrzegać wszelkich odpowiednich przepisów prawa podatkowego i </w:t>
      </w:r>
      <w:r w:rsidR="006E2DC2" w:rsidRPr="00767038">
        <w:rPr>
          <w:lang w:val="pl-PL"/>
        </w:rPr>
        <w:t>socjalnego</w:t>
      </w:r>
      <w:r w:rsidRPr="00767038">
        <w:rPr>
          <w:lang w:val="pl-PL"/>
        </w:rPr>
        <w:t xml:space="preserve">, np. należy płacić podatki, zobowiązania </w:t>
      </w:r>
      <w:r w:rsidR="006E2DC2" w:rsidRPr="00767038">
        <w:rPr>
          <w:lang w:val="pl-PL"/>
        </w:rPr>
        <w:t xml:space="preserve">socjalne </w:t>
      </w:r>
      <w:r w:rsidRPr="00767038">
        <w:rPr>
          <w:lang w:val="pl-PL"/>
        </w:rPr>
        <w:t>względem pracowników, w tym odprawy, świadczenia emerytalne, minimalne wynagrodzenie</w:t>
      </w:r>
      <w:r w:rsidR="006E2DC2" w:rsidRPr="00767038">
        <w:rPr>
          <w:lang w:val="pl-PL"/>
        </w:rPr>
        <w:t>,</w:t>
      </w:r>
      <w:r w:rsidRPr="00767038">
        <w:rPr>
          <w:lang w:val="pl-PL"/>
        </w:rPr>
        <w:t xml:space="preserve"> zgodnie z odpowiednim prawodawstwem.</w:t>
      </w:r>
    </w:p>
    <w:p w:rsidR="00875819" w:rsidRPr="00767038" w:rsidRDefault="00893358" w:rsidP="00A0039A">
      <w:pPr>
        <w:pStyle w:val="Nagwek2"/>
        <w:rPr>
          <w:lang w:val="pl-PL"/>
        </w:rPr>
      </w:pPr>
      <w:bookmarkStart w:id="38" w:name="_Ref465347581"/>
      <w:bookmarkStart w:id="39" w:name="_Toc505238506"/>
      <w:r w:rsidRPr="00767038">
        <w:rPr>
          <w:iCs/>
          <w:lang w:val="pl-PL"/>
        </w:rPr>
        <w:lastRenderedPageBreak/>
        <w:t xml:space="preserve">Wydatki kwalifikowalne w ramach Funduszu </w:t>
      </w:r>
      <w:r w:rsidR="00CF7749" w:rsidRPr="00767038">
        <w:rPr>
          <w:iCs/>
          <w:lang w:val="pl-PL"/>
        </w:rPr>
        <w:t xml:space="preserve">Współpracy </w:t>
      </w:r>
      <w:r w:rsidRPr="00767038">
        <w:rPr>
          <w:iCs/>
          <w:lang w:val="pl-PL"/>
        </w:rPr>
        <w:t>Dwustronn</w:t>
      </w:r>
      <w:r w:rsidR="00CF7749" w:rsidRPr="00767038">
        <w:rPr>
          <w:iCs/>
          <w:lang w:val="pl-PL"/>
        </w:rPr>
        <w:t>ej</w:t>
      </w:r>
      <w:bookmarkEnd w:id="38"/>
      <w:bookmarkEnd w:id="39"/>
    </w:p>
    <w:p w:rsidR="00AF054F" w:rsidRPr="00767038" w:rsidRDefault="00AF054F" w:rsidP="00AF054F">
      <w:pPr>
        <w:rPr>
          <w:lang w:val="pl-PL"/>
        </w:rPr>
      </w:pPr>
      <w:r w:rsidRPr="00767038">
        <w:rPr>
          <w:lang w:val="pl-PL"/>
        </w:rPr>
        <w:t xml:space="preserve">Kwalifikowalność wydatków, które zostaną sfinansowane z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, określa art. 8.8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. Ponadto mają zastosowanie ogólne zasady kwalifikowalności wydatków, o których mowa w art. 8.2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.</w:t>
      </w:r>
    </w:p>
    <w:p w:rsidR="008577AC" w:rsidRPr="00767038" w:rsidRDefault="001B3CE1" w:rsidP="00376576">
      <w:pPr>
        <w:rPr>
          <w:lang w:val="pl-PL"/>
        </w:rPr>
      </w:pPr>
      <w:r w:rsidRPr="00767038">
        <w:rPr>
          <w:lang w:val="pl-PL"/>
        </w:rPr>
        <w:t xml:space="preserve">Alokacji środków z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 na programy, których nie alokowano w </w:t>
      </w:r>
      <w:proofErr w:type="spellStart"/>
      <w:r w:rsidR="00CF7749"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, dokonuje Wspólny Komitet </w:t>
      </w:r>
      <w:r w:rsidR="00CF7749" w:rsidRPr="00767038">
        <w:rPr>
          <w:lang w:val="pl-PL"/>
        </w:rPr>
        <w:t xml:space="preserve">ds. </w:t>
      </w:r>
      <w:r w:rsidRPr="00767038">
        <w:rPr>
          <w:lang w:val="pl-PL"/>
        </w:rPr>
        <w:t>Fundusz</w:t>
      </w:r>
      <w:r w:rsidR="009C55F7" w:rsidRPr="00767038">
        <w:rPr>
          <w:lang w:val="pl-PL"/>
        </w:rPr>
        <w:t>u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A35E94" w:rsidRPr="00767038">
        <w:rPr>
          <w:lang w:val="pl-PL"/>
        </w:rPr>
        <w:t xml:space="preserve">Dwustronnej. </w:t>
      </w:r>
      <w:r w:rsidRPr="00767038">
        <w:rPr>
          <w:lang w:val="pl-PL"/>
        </w:rPr>
        <w:t xml:space="preserve">Fundusz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 reguluje umo</w:t>
      </w:r>
      <w:r w:rsidR="007041C5" w:rsidRPr="00767038">
        <w:rPr>
          <w:lang w:val="pl-PL"/>
        </w:rPr>
        <w:t xml:space="preserve">wa </w:t>
      </w:r>
      <w:proofErr w:type="spellStart"/>
      <w:r w:rsidR="007041C5" w:rsidRPr="00767038">
        <w:rPr>
          <w:lang w:val="pl-PL"/>
        </w:rPr>
        <w:t>w</w:t>
      </w:r>
      <w:r w:rsidR="009C55F7" w:rsidRPr="00767038">
        <w:rPr>
          <w:lang w:val="pl-PL"/>
        </w:rPr>
        <w:t>s</w:t>
      </w:r>
      <w:proofErr w:type="spellEnd"/>
      <w:r w:rsidR="009C55F7" w:rsidRPr="00767038">
        <w:rPr>
          <w:lang w:val="pl-PL"/>
        </w:rPr>
        <w:t>.</w:t>
      </w:r>
      <w:r w:rsidR="007041C5" w:rsidRPr="00767038">
        <w:rPr>
          <w:lang w:val="pl-PL"/>
        </w:rPr>
        <w:t xml:space="preserve"> Funduszu </w:t>
      </w:r>
      <w:r w:rsidR="00CF7749" w:rsidRPr="00767038">
        <w:rPr>
          <w:lang w:val="pl-PL"/>
        </w:rPr>
        <w:t>Współpracy</w:t>
      </w:r>
      <w:r w:rsidR="007041C5"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 zawarta miedzy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i </w:t>
      </w:r>
      <w:r w:rsidR="009C55F7" w:rsidRPr="00767038">
        <w:rPr>
          <w:lang w:val="pl-PL"/>
        </w:rPr>
        <w:t>P</w:t>
      </w:r>
      <w:r w:rsidR="007041C5" w:rsidRPr="00767038">
        <w:rPr>
          <w:lang w:val="pl-PL"/>
        </w:rPr>
        <w:t>aństwem</w:t>
      </w:r>
      <w:r w:rsidR="009C55F7" w:rsidRPr="00767038">
        <w:rPr>
          <w:lang w:val="pl-PL"/>
        </w:rPr>
        <w:t>-Beneficjentem</w:t>
      </w:r>
      <w:r w:rsidR="007041C5" w:rsidRPr="008C2068">
        <w:rPr>
          <w:lang w:val="pl-PL"/>
        </w:rPr>
        <w:t xml:space="preserve">. </w:t>
      </w:r>
      <w:r w:rsidRPr="008C2068">
        <w:rPr>
          <w:lang w:val="pl-PL"/>
        </w:rPr>
        <w:t xml:space="preserve">W planie pracy </w:t>
      </w:r>
      <w:r w:rsidR="009C55F7" w:rsidRPr="008C2068">
        <w:rPr>
          <w:lang w:val="pl-PL"/>
        </w:rPr>
        <w:t>(</w:t>
      </w:r>
      <w:proofErr w:type="spellStart"/>
      <w:r w:rsidR="009C55F7" w:rsidRPr="008C2068">
        <w:rPr>
          <w:lang w:val="pl-PL"/>
        </w:rPr>
        <w:t>Work</w:t>
      </w:r>
      <w:proofErr w:type="spellEnd"/>
      <w:r w:rsidR="009C55F7" w:rsidRPr="008C2068">
        <w:rPr>
          <w:lang w:val="pl-PL"/>
        </w:rPr>
        <w:t xml:space="preserve"> Plan)</w:t>
      </w:r>
      <w:r w:rsidR="009C55F7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uwzględnia się krótki opis </w:t>
      </w:r>
      <w:r w:rsidR="009C55F7" w:rsidRPr="00767038">
        <w:rPr>
          <w:lang w:val="pl-PL"/>
        </w:rPr>
        <w:t>wdrażania</w:t>
      </w:r>
      <w:r w:rsidRPr="00767038">
        <w:rPr>
          <w:lang w:val="pl-PL"/>
        </w:rPr>
        <w:t>, główne działania</w:t>
      </w:r>
      <w:r w:rsidR="007041C5" w:rsidRPr="00767038">
        <w:rPr>
          <w:lang w:val="pl-PL"/>
        </w:rPr>
        <w:t xml:space="preserve">, </w:t>
      </w:r>
      <w:r w:rsidRPr="00767038">
        <w:rPr>
          <w:lang w:val="pl-PL"/>
        </w:rPr>
        <w:t xml:space="preserve">które należy zorganizować, a także programy dwustronnego zainteresowania. Plan pracy </w:t>
      </w:r>
      <w:r w:rsidR="00DE368C" w:rsidRPr="00767038">
        <w:rPr>
          <w:lang w:val="pl-PL"/>
        </w:rPr>
        <w:t>powinien zawierać informacje</w:t>
      </w:r>
      <w:r w:rsidRPr="00767038">
        <w:rPr>
          <w:lang w:val="pl-PL"/>
        </w:rPr>
        <w:t xml:space="preserve"> na temat kwot alokowanych na programy, w tym kwot alokowan</w:t>
      </w:r>
      <w:r w:rsidR="00DE368C" w:rsidRPr="00767038">
        <w:rPr>
          <w:lang w:val="pl-PL"/>
        </w:rPr>
        <w:t>ych</w:t>
      </w:r>
      <w:r w:rsidRPr="00767038">
        <w:rPr>
          <w:lang w:val="pl-PL"/>
        </w:rPr>
        <w:t xml:space="preserve"> w </w:t>
      </w:r>
      <w:proofErr w:type="spellStart"/>
      <w:r w:rsidR="009C55F7" w:rsidRPr="00767038">
        <w:rPr>
          <w:lang w:val="pl-PL"/>
        </w:rPr>
        <w:t>MoU</w:t>
      </w:r>
      <w:proofErr w:type="spellEnd"/>
      <w:r w:rsidRPr="00767038">
        <w:rPr>
          <w:lang w:val="pl-PL"/>
        </w:rPr>
        <w:t>.</w:t>
      </w:r>
    </w:p>
    <w:p w:rsidR="000C58A8" w:rsidRPr="00767038" w:rsidRDefault="000C58A8" w:rsidP="000C58A8">
      <w:pPr>
        <w:rPr>
          <w:lang w:val="pl-PL"/>
        </w:rPr>
      </w:pPr>
      <w:r w:rsidRPr="00767038">
        <w:rPr>
          <w:lang w:val="pl-PL"/>
        </w:rPr>
        <w:t xml:space="preserve">Wydatki związane z działaniami w ramach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 są </w:t>
      </w:r>
      <w:r w:rsidR="009C55F7" w:rsidRPr="00767038">
        <w:rPr>
          <w:lang w:val="pl-PL"/>
        </w:rPr>
        <w:t>kwalifikowalne</w:t>
      </w:r>
      <w:r w:rsidRPr="00767038">
        <w:rPr>
          <w:lang w:val="pl-PL"/>
        </w:rPr>
        <w:t xml:space="preserve"> od dnia </w:t>
      </w:r>
      <w:r w:rsidR="009C55F7" w:rsidRPr="00767038">
        <w:rPr>
          <w:lang w:val="pl-PL"/>
        </w:rPr>
        <w:t xml:space="preserve">złożenia ostatniego podpisu pod </w:t>
      </w:r>
      <w:proofErr w:type="spellStart"/>
      <w:r w:rsidR="009C55F7"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. Jeżeli </w:t>
      </w:r>
      <w:r w:rsidR="009C55F7" w:rsidRPr="00767038">
        <w:rPr>
          <w:lang w:val="pl-PL"/>
        </w:rPr>
        <w:t>P</w:t>
      </w:r>
      <w:r w:rsidRPr="00767038">
        <w:rPr>
          <w:lang w:val="pl-PL"/>
        </w:rPr>
        <w:t>aństwo</w:t>
      </w:r>
      <w:r w:rsidR="009C55F7" w:rsidRPr="00767038">
        <w:rPr>
          <w:lang w:val="pl-PL"/>
        </w:rPr>
        <w:t>-</w:t>
      </w:r>
      <w:r w:rsidR="00A35E94" w:rsidRPr="00767038">
        <w:rPr>
          <w:lang w:val="pl-PL"/>
        </w:rPr>
        <w:t>Beneficjent</w:t>
      </w:r>
      <w:r w:rsidR="00A35E94">
        <w:rPr>
          <w:lang w:val="pl-PL"/>
        </w:rPr>
        <w:t xml:space="preserve"> </w:t>
      </w:r>
      <w:r w:rsidR="00A35E94" w:rsidRPr="00767038">
        <w:rPr>
          <w:lang w:val="pl-PL"/>
        </w:rPr>
        <w:t>otrzymało</w:t>
      </w:r>
      <w:r w:rsidRPr="00767038">
        <w:rPr>
          <w:lang w:val="pl-PL"/>
        </w:rPr>
        <w:t xml:space="preserve"> wsparcie zarówno z Mechanizmu Finansowego EOG, jak i Norweskiego Mechanizmu Finansowego, </w:t>
      </w:r>
      <w:r w:rsidR="009C55F7" w:rsidRPr="00767038">
        <w:rPr>
          <w:lang w:val="pl-PL"/>
        </w:rPr>
        <w:t>pierwszym dniem</w:t>
      </w:r>
      <w:r w:rsidRPr="00767038">
        <w:rPr>
          <w:lang w:val="pl-PL"/>
        </w:rPr>
        <w:t xml:space="preserve"> kwalifikowalności jest </w:t>
      </w:r>
      <w:r w:rsidR="009C55F7" w:rsidRPr="00767038">
        <w:rPr>
          <w:lang w:val="pl-PL"/>
        </w:rPr>
        <w:t xml:space="preserve">dzień złożenia ostatniego podpisu pod </w:t>
      </w:r>
      <w:proofErr w:type="spellStart"/>
      <w:r w:rsidR="009C55F7" w:rsidRPr="00767038">
        <w:rPr>
          <w:lang w:val="pl-PL"/>
        </w:rPr>
        <w:t>MoU</w:t>
      </w:r>
      <w:proofErr w:type="spellEnd"/>
      <w:r w:rsidR="009C55F7" w:rsidRPr="00767038">
        <w:rPr>
          <w:lang w:val="pl-PL"/>
        </w:rPr>
        <w:t xml:space="preserve"> zawartym jako</w:t>
      </w:r>
      <w:r w:rsidRPr="00767038">
        <w:rPr>
          <w:lang w:val="pl-PL"/>
        </w:rPr>
        <w:t xml:space="preserve"> pierwsz</w:t>
      </w:r>
      <w:r w:rsidR="009C55F7" w:rsidRPr="00767038">
        <w:rPr>
          <w:lang w:val="pl-PL"/>
        </w:rPr>
        <w:t>e</w:t>
      </w:r>
      <w:r w:rsidRPr="00767038">
        <w:rPr>
          <w:lang w:val="pl-PL"/>
        </w:rPr>
        <w:t xml:space="preserve">. </w:t>
      </w:r>
      <w:r w:rsidR="009C55F7" w:rsidRPr="00767038">
        <w:rPr>
          <w:lang w:val="pl-PL"/>
        </w:rPr>
        <w:t>Ostatnim dniem</w:t>
      </w:r>
      <w:r w:rsidRPr="00767038">
        <w:rPr>
          <w:lang w:val="pl-PL"/>
        </w:rPr>
        <w:t xml:space="preserve"> kwalifikowalności </w:t>
      </w:r>
      <w:r w:rsidR="009C55F7" w:rsidRPr="00767038">
        <w:rPr>
          <w:lang w:val="pl-PL"/>
        </w:rPr>
        <w:t>wsparcia</w:t>
      </w:r>
      <w:r w:rsidRPr="00767038">
        <w:rPr>
          <w:lang w:val="pl-PL"/>
        </w:rPr>
        <w:t xml:space="preserve"> jest dzień 30 kwietnia 2025 r.</w:t>
      </w:r>
    </w:p>
    <w:p w:rsidR="004F2613" w:rsidRPr="00767038" w:rsidRDefault="000C58A8" w:rsidP="00376576">
      <w:pPr>
        <w:rPr>
          <w:lang w:val="pl-PL"/>
        </w:rPr>
      </w:pPr>
      <w:r w:rsidRPr="00767038">
        <w:rPr>
          <w:color w:val="000000"/>
          <w:szCs w:val="20"/>
          <w:lang w:val="pl-PL"/>
        </w:rPr>
        <w:t xml:space="preserve">BMF dokonuje wypłat z Funduszu </w:t>
      </w:r>
      <w:r w:rsidR="00CF7749" w:rsidRPr="00767038">
        <w:rPr>
          <w:color w:val="000000"/>
          <w:szCs w:val="20"/>
          <w:lang w:val="pl-PL"/>
        </w:rPr>
        <w:t>Współpracy</w:t>
      </w:r>
      <w:r w:rsidRPr="00767038">
        <w:rPr>
          <w:color w:val="000000"/>
          <w:szCs w:val="20"/>
          <w:lang w:val="pl-PL"/>
        </w:rPr>
        <w:t xml:space="preserve"> </w:t>
      </w:r>
      <w:r w:rsidR="00CF7749" w:rsidRPr="00767038">
        <w:rPr>
          <w:color w:val="000000"/>
          <w:szCs w:val="20"/>
          <w:lang w:val="pl-PL"/>
        </w:rPr>
        <w:t>Dwustronnej</w:t>
      </w:r>
      <w:r w:rsidRPr="00767038">
        <w:rPr>
          <w:color w:val="000000"/>
          <w:szCs w:val="20"/>
          <w:lang w:val="pl-PL"/>
        </w:rPr>
        <w:t xml:space="preserve"> po podpisaniu umowy </w:t>
      </w:r>
      <w:proofErr w:type="spellStart"/>
      <w:r w:rsidRPr="00767038">
        <w:rPr>
          <w:color w:val="000000"/>
          <w:szCs w:val="20"/>
          <w:lang w:val="pl-PL"/>
        </w:rPr>
        <w:t>w</w:t>
      </w:r>
      <w:r w:rsidR="009C55F7" w:rsidRPr="00767038">
        <w:rPr>
          <w:color w:val="000000"/>
          <w:szCs w:val="20"/>
          <w:lang w:val="pl-PL"/>
        </w:rPr>
        <w:t>s</w:t>
      </w:r>
      <w:proofErr w:type="spellEnd"/>
      <w:r w:rsidR="009C55F7" w:rsidRPr="00767038">
        <w:rPr>
          <w:color w:val="000000"/>
          <w:szCs w:val="20"/>
          <w:lang w:val="pl-PL"/>
        </w:rPr>
        <w:t>.</w:t>
      </w:r>
      <w:r w:rsidRPr="00767038">
        <w:rPr>
          <w:color w:val="000000"/>
          <w:szCs w:val="20"/>
          <w:lang w:val="pl-PL"/>
        </w:rPr>
        <w:t xml:space="preserve"> F</w:t>
      </w:r>
      <w:r w:rsidR="00DE368C" w:rsidRPr="00767038">
        <w:rPr>
          <w:color w:val="000000"/>
          <w:szCs w:val="20"/>
          <w:lang w:val="pl-PL"/>
        </w:rPr>
        <w:t xml:space="preserve">unduszu </w:t>
      </w:r>
      <w:r w:rsidR="00CF7749" w:rsidRPr="00767038">
        <w:rPr>
          <w:color w:val="000000"/>
          <w:szCs w:val="20"/>
          <w:lang w:val="pl-PL"/>
        </w:rPr>
        <w:t>Współpracy</w:t>
      </w:r>
      <w:r w:rsidR="00DE368C" w:rsidRPr="00767038">
        <w:rPr>
          <w:color w:val="000000"/>
          <w:szCs w:val="20"/>
          <w:lang w:val="pl-PL"/>
        </w:rPr>
        <w:t xml:space="preserve"> </w:t>
      </w:r>
      <w:r w:rsidR="00CF7749" w:rsidRPr="00767038">
        <w:rPr>
          <w:color w:val="000000"/>
          <w:szCs w:val="20"/>
          <w:lang w:val="pl-PL"/>
        </w:rPr>
        <w:t>Dwustronnej</w:t>
      </w:r>
      <w:r w:rsidR="00DE368C" w:rsidRPr="00767038">
        <w:rPr>
          <w:color w:val="000000"/>
          <w:szCs w:val="20"/>
          <w:lang w:val="pl-PL"/>
        </w:rPr>
        <w:t xml:space="preserve">. </w:t>
      </w:r>
      <w:r w:rsidRPr="00767038">
        <w:rPr>
          <w:color w:val="000000"/>
          <w:szCs w:val="20"/>
          <w:lang w:val="pl-PL"/>
        </w:rPr>
        <w:t>Płatności będą mieć formę zalicz</w:t>
      </w:r>
      <w:r w:rsidR="009C55F7" w:rsidRPr="00767038">
        <w:rPr>
          <w:color w:val="000000"/>
          <w:szCs w:val="20"/>
          <w:lang w:val="pl-PL"/>
        </w:rPr>
        <w:t>e</w:t>
      </w:r>
      <w:r w:rsidRPr="00767038">
        <w:rPr>
          <w:color w:val="000000"/>
          <w:szCs w:val="20"/>
          <w:lang w:val="pl-PL"/>
        </w:rPr>
        <w:t>k, płatności okresowy</w:t>
      </w:r>
      <w:r w:rsidR="00DE368C" w:rsidRPr="00767038">
        <w:rPr>
          <w:color w:val="000000"/>
          <w:szCs w:val="20"/>
          <w:lang w:val="pl-PL"/>
        </w:rPr>
        <w:t xml:space="preserve">ch i płatności salda końcowego. </w:t>
      </w:r>
      <w:r w:rsidRPr="00767038">
        <w:rPr>
          <w:lang w:val="pl-PL"/>
        </w:rPr>
        <w:t xml:space="preserve">KPK jest odpowiedzialny za wykorzystanie, terminową wypłatę i raportowanie w ramach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. </w:t>
      </w:r>
    </w:p>
    <w:p w:rsidR="00533782" w:rsidRPr="00767038" w:rsidRDefault="008577AC" w:rsidP="00376576">
      <w:pPr>
        <w:rPr>
          <w:lang w:val="pl-PL"/>
        </w:rPr>
      </w:pPr>
      <w:r w:rsidRPr="00767038">
        <w:rPr>
          <w:lang w:val="pl-PL"/>
        </w:rPr>
        <w:t>I</w:t>
      </w:r>
      <w:r w:rsidR="00BD1639" w:rsidRPr="00767038">
        <w:rPr>
          <w:lang w:val="pl-PL"/>
        </w:rPr>
        <w:t xml:space="preserve">nstytucja </w:t>
      </w:r>
      <w:r w:rsidRPr="00767038">
        <w:rPr>
          <w:lang w:val="pl-PL"/>
        </w:rPr>
        <w:t>C</w:t>
      </w:r>
      <w:r w:rsidR="00BD1639" w:rsidRPr="00767038">
        <w:rPr>
          <w:lang w:val="pl-PL"/>
        </w:rPr>
        <w:t>ertyfikująca</w:t>
      </w:r>
      <w:r w:rsidRPr="00767038">
        <w:rPr>
          <w:lang w:val="pl-PL"/>
        </w:rPr>
        <w:t xml:space="preserve"> poświadcza wszelkie wydatki ponoszone w ramach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 i </w:t>
      </w:r>
      <w:r w:rsidR="00BD1639" w:rsidRPr="00767038">
        <w:rPr>
          <w:lang w:val="pl-PL"/>
        </w:rPr>
        <w:t>weryfikuje</w:t>
      </w:r>
      <w:r w:rsidRPr="00767038">
        <w:rPr>
          <w:lang w:val="pl-PL"/>
        </w:rPr>
        <w:t xml:space="preserve"> wydatki ponoszone bezpośrednio przez KPK.</w:t>
      </w:r>
      <w:r w:rsidR="00DE368C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KPK jest odpowiedzialny za weryfikację kwalifikowalności wszelkich pozostałych wydatków. </w:t>
      </w:r>
      <w:r w:rsidR="00BD1639" w:rsidRPr="00767038">
        <w:rPr>
          <w:lang w:val="pl-PL"/>
        </w:rPr>
        <w:t xml:space="preserve">W odniesieniu do alokacji poszczególnych </w:t>
      </w:r>
      <w:r w:rsidR="00A35E94" w:rsidRPr="00767038">
        <w:rPr>
          <w:lang w:val="pl-PL"/>
        </w:rPr>
        <w:t>programów, kwalifikowalność</w:t>
      </w:r>
      <w:r w:rsidRPr="00767038">
        <w:rPr>
          <w:lang w:val="pl-PL"/>
        </w:rPr>
        <w:t xml:space="preserve"> wydatków poniesionych w związku z realizacją działań dwustronnych </w:t>
      </w:r>
      <w:r w:rsidR="00BD1639" w:rsidRPr="00767038">
        <w:rPr>
          <w:lang w:val="pl-PL"/>
        </w:rPr>
        <w:t xml:space="preserve">weryfikuje </w:t>
      </w:r>
      <w:r w:rsidRPr="00767038">
        <w:rPr>
          <w:lang w:val="pl-PL"/>
        </w:rPr>
        <w:t>KPK/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zgodnie z opisem </w:t>
      </w:r>
      <w:r w:rsidR="00BD1639" w:rsidRPr="00767038">
        <w:rPr>
          <w:lang w:val="pl-PL"/>
        </w:rPr>
        <w:t>S</w:t>
      </w:r>
      <w:r w:rsidRPr="00767038">
        <w:rPr>
          <w:lang w:val="pl-PL"/>
        </w:rPr>
        <w:t xml:space="preserve">ystemów zarządzania i kontroli. Ponadto </w:t>
      </w:r>
      <w:r w:rsidR="00BD1639" w:rsidRPr="00767038">
        <w:rPr>
          <w:lang w:val="pl-PL"/>
        </w:rPr>
        <w:t xml:space="preserve">prognozy dotyczące planowanych przyszłych płatności dla programów </w:t>
      </w:r>
      <w:r w:rsidRPr="00767038">
        <w:rPr>
          <w:lang w:val="pl-PL"/>
        </w:rPr>
        <w:t xml:space="preserve">powinny </w:t>
      </w:r>
      <w:r w:rsidR="00BD1639" w:rsidRPr="00767038">
        <w:rPr>
          <w:lang w:val="pl-PL"/>
        </w:rPr>
        <w:t>podlegać</w:t>
      </w:r>
      <w:r w:rsidRPr="00767038">
        <w:rPr>
          <w:lang w:val="pl-PL"/>
        </w:rPr>
        <w:t xml:space="preserve"> taki</w:t>
      </w:r>
      <w:r w:rsidR="00FD085A" w:rsidRPr="00767038">
        <w:rPr>
          <w:lang w:val="pl-PL"/>
        </w:rPr>
        <w:t>m</w:t>
      </w:r>
      <w:r w:rsidRPr="00767038">
        <w:rPr>
          <w:lang w:val="pl-PL"/>
        </w:rPr>
        <w:t xml:space="preserve"> samym zasadom jak w przypadku regularnych programów (art. 9.5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).</w:t>
      </w:r>
    </w:p>
    <w:p w:rsidR="003724DF" w:rsidRPr="00767038" w:rsidRDefault="003724DF" w:rsidP="003724DF">
      <w:pPr>
        <w:rPr>
          <w:lang w:val="pl-PL"/>
        </w:rPr>
      </w:pPr>
      <w:r w:rsidRPr="00767038">
        <w:rPr>
          <w:lang w:val="pl-PL"/>
        </w:rPr>
        <w:t xml:space="preserve">Koszty poniesione przez KPK w związku z przygotowaniem, </w:t>
      </w:r>
      <w:r w:rsidR="00BD1639" w:rsidRPr="00767038">
        <w:rPr>
          <w:lang w:val="pl-PL"/>
        </w:rPr>
        <w:t>ewaluacją</w:t>
      </w:r>
      <w:r w:rsidRPr="00767038">
        <w:rPr>
          <w:lang w:val="pl-PL"/>
        </w:rPr>
        <w:t>, przepływ</w:t>
      </w:r>
      <w:r w:rsidR="00FD085A" w:rsidRPr="00767038">
        <w:rPr>
          <w:lang w:val="pl-PL"/>
        </w:rPr>
        <w:t>ami</w:t>
      </w:r>
      <w:r w:rsidRPr="00767038">
        <w:rPr>
          <w:lang w:val="pl-PL"/>
        </w:rPr>
        <w:t xml:space="preserve"> finansowym</w:t>
      </w:r>
      <w:r w:rsidR="00FD085A" w:rsidRPr="00767038">
        <w:rPr>
          <w:lang w:val="pl-PL"/>
        </w:rPr>
        <w:t>i</w:t>
      </w:r>
      <w:r w:rsidRPr="00767038">
        <w:rPr>
          <w:lang w:val="pl-PL"/>
        </w:rPr>
        <w:t xml:space="preserve"> i monitoringiem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 mogą być kosztami kwalifikowalnymi </w:t>
      </w:r>
      <w:r w:rsidR="00BD1639" w:rsidRPr="00767038">
        <w:rPr>
          <w:lang w:val="pl-PL"/>
        </w:rPr>
        <w:t>w ramach pomocy technicznej</w:t>
      </w:r>
      <w:r w:rsidRPr="00767038">
        <w:rPr>
          <w:lang w:val="pl-PL"/>
        </w:rPr>
        <w:t xml:space="preserve">, o ile takie wydatki są proporcjonalne i niezbędne (art. 8.11.2 lit. (a)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). Dla </w:t>
      </w:r>
      <w:r w:rsidR="00315981" w:rsidRPr="00767038">
        <w:rPr>
          <w:lang w:val="pl-PL"/>
        </w:rPr>
        <w:t>Operator</w:t>
      </w:r>
      <w:r w:rsidR="00BD163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wydatki związane ze wzmacnianiem stosunków</w:t>
      </w:r>
      <w:r w:rsidR="00FD085A" w:rsidRPr="00767038">
        <w:rPr>
          <w:lang w:val="pl-PL"/>
        </w:rPr>
        <w:t xml:space="preserve"> dwustronnych są kwalifikowalne </w:t>
      </w:r>
      <w:r w:rsidRPr="00767038">
        <w:rPr>
          <w:lang w:val="pl-PL"/>
        </w:rPr>
        <w:t>jako koszty zarządzania programem, jeżeli taki</w:t>
      </w:r>
      <w:r w:rsidR="00FD085A" w:rsidRPr="00767038">
        <w:rPr>
          <w:lang w:val="pl-PL"/>
        </w:rPr>
        <w:t>e</w:t>
      </w:r>
      <w:r w:rsidRPr="00767038">
        <w:rPr>
          <w:lang w:val="pl-PL"/>
        </w:rPr>
        <w:t xml:space="preserve"> wydatki są proporcjonalne i niezbędne (art. 8.10.4 lit. (m)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). </w:t>
      </w:r>
    </w:p>
    <w:p w:rsidR="003724DF" w:rsidRPr="00767038" w:rsidRDefault="003724DF" w:rsidP="003724DF">
      <w:pPr>
        <w:rPr>
          <w:szCs w:val="20"/>
          <w:lang w:val="pl-PL"/>
        </w:rPr>
      </w:pPr>
      <w:r w:rsidRPr="00767038">
        <w:rPr>
          <w:lang w:val="pl-PL"/>
        </w:rPr>
        <w:t xml:space="preserve">Jako że działania na rzecz wzmacniania stosunków dwustronnych można wspierać zarówno z kosztów zarządzania programami, jak i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Pr="00767038">
        <w:rPr>
          <w:lang w:val="pl-PL"/>
        </w:rPr>
        <w:t xml:space="preserve">, najbardziej odpowiednie źródło finansowania należy ocenić na zasadzie indywidualnej w zależności od kontekstu krajowego i wielkości dofinansowania i różnych funduszy. </w:t>
      </w:r>
      <w:r w:rsidRPr="00767038">
        <w:rPr>
          <w:lang w:val="pl-PL"/>
        </w:rPr>
        <w:lastRenderedPageBreak/>
        <w:t xml:space="preserve">Elastyczność, którą zapewniają </w:t>
      </w:r>
      <w:r w:rsidR="00BD1639" w:rsidRPr="00767038">
        <w:rPr>
          <w:lang w:val="pl-PL"/>
        </w:rPr>
        <w:t>Regulacje</w:t>
      </w:r>
      <w:r w:rsidRPr="00767038">
        <w:rPr>
          <w:lang w:val="pl-PL"/>
        </w:rPr>
        <w:t xml:space="preserve">, ma służyć zapewnieniu, że </w:t>
      </w:r>
      <w:r w:rsidR="00FD085A" w:rsidRPr="00767038">
        <w:rPr>
          <w:lang w:val="pl-PL"/>
        </w:rPr>
        <w:t xml:space="preserve">najlepszych </w:t>
      </w:r>
      <w:r w:rsidRPr="00767038">
        <w:rPr>
          <w:lang w:val="pl-PL"/>
        </w:rPr>
        <w:t xml:space="preserve">praktyk w zakresie wzmacniania stosunków dwustronnych nie ogranicza brak możliwości finansowania </w:t>
      </w:r>
      <w:r w:rsidR="00BD1639" w:rsidRPr="00767038">
        <w:rPr>
          <w:lang w:val="pl-PL"/>
        </w:rPr>
        <w:t>oraz, że</w:t>
      </w:r>
      <w:r w:rsidRPr="00767038">
        <w:rPr>
          <w:lang w:val="pl-PL"/>
        </w:rPr>
        <w:t xml:space="preserve"> finansowanie jest dostępne na wczesnym etapie.</w:t>
      </w:r>
    </w:p>
    <w:p w:rsidR="00455781" w:rsidRPr="00767038" w:rsidRDefault="001E5526" w:rsidP="00376576">
      <w:pPr>
        <w:rPr>
          <w:lang w:val="pl-PL"/>
        </w:rPr>
      </w:pPr>
      <w:r w:rsidRPr="00767038">
        <w:rPr>
          <w:lang w:val="pl-PL"/>
        </w:rPr>
        <w:t>W celu pokrycia wydatków</w:t>
      </w:r>
      <w:r w:rsidR="00C37850">
        <w:rPr>
          <w:lang w:val="pl-PL"/>
        </w:rPr>
        <w:t xml:space="preserve"> na</w:t>
      </w:r>
      <w:r w:rsidRPr="00767038">
        <w:rPr>
          <w:lang w:val="pl-PL"/>
        </w:rPr>
        <w:t xml:space="preserve"> działa</w:t>
      </w:r>
      <w:r w:rsidR="00C37850">
        <w:rPr>
          <w:lang w:val="pl-PL"/>
        </w:rPr>
        <w:t>nia</w:t>
      </w:r>
      <w:r w:rsidRPr="00767038">
        <w:rPr>
          <w:lang w:val="pl-PL"/>
        </w:rPr>
        <w:t xml:space="preserve">, o których mowa w art. 8.8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, w </w:t>
      </w:r>
      <w:r w:rsidR="00A35E94" w:rsidRPr="00767038">
        <w:rPr>
          <w:lang w:val="pl-PL"/>
        </w:rPr>
        <w:t>trakcie opracowywania</w:t>
      </w:r>
      <w:r w:rsidRPr="00767038">
        <w:rPr>
          <w:lang w:val="pl-PL"/>
        </w:rPr>
        <w:t xml:space="preserve"> programów</w:t>
      </w:r>
      <w:r w:rsidR="00455781" w:rsidRPr="00767038">
        <w:rPr>
          <w:lang w:val="pl-PL"/>
        </w:rPr>
        <w:t>,</w:t>
      </w:r>
      <w:r w:rsidRPr="00767038">
        <w:rPr>
          <w:lang w:val="pl-PL"/>
        </w:rPr>
        <w:t xml:space="preserve"> BMF może </w:t>
      </w:r>
      <w:r w:rsidR="00455781" w:rsidRPr="00767038">
        <w:rPr>
          <w:lang w:val="pl-PL"/>
        </w:rPr>
        <w:t>wypłacać</w:t>
      </w:r>
      <w:r w:rsidR="00FD085A" w:rsidRPr="00767038">
        <w:rPr>
          <w:lang w:val="pl-PL"/>
        </w:rPr>
        <w:t xml:space="preserve"> zaliczki bezpośrednio </w:t>
      </w:r>
      <w:r w:rsidR="00315981" w:rsidRPr="00767038">
        <w:rPr>
          <w:lang w:val="pl-PL"/>
        </w:rPr>
        <w:t>Operator</w:t>
      </w:r>
      <w:r w:rsidR="00455781" w:rsidRPr="00767038">
        <w:rPr>
          <w:lang w:val="pl-PL"/>
        </w:rPr>
        <w:t>om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, lecz w kwocie </w:t>
      </w:r>
      <w:r w:rsidR="00A35E94" w:rsidRPr="00767038">
        <w:rPr>
          <w:lang w:val="pl-PL"/>
        </w:rPr>
        <w:t>nieprzekraczającej</w:t>
      </w:r>
      <w:r w:rsidRPr="00767038">
        <w:rPr>
          <w:lang w:val="pl-PL"/>
        </w:rPr>
        <w:t xml:space="preserve"> 50.000 euro</w:t>
      </w:r>
      <w:r w:rsidR="00FD085A" w:rsidRPr="00767038">
        <w:rPr>
          <w:lang w:val="pl-PL"/>
        </w:rPr>
        <w:t xml:space="preserve">. </w:t>
      </w:r>
      <w:r w:rsidR="00455781" w:rsidRPr="00767038">
        <w:rPr>
          <w:lang w:val="pl-PL"/>
        </w:rPr>
        <w:t>Tego typu</w:t>
      </w:r>
      <w:r w:rsidRPr="00767038">
        <w:rPr>
          <w:lang w:val="pl-PL"/>
        </w:rPr>
        <w:t xml:space="preserve"> płatności dokon</w:t>
      </w:r>
      <w:r w:rsidR="00455781" w:rsidRPr="00767038">
        <w:rPr>
          <w:lang w:val="pl-PL"/>
        </w:rPr>
        <w:t>ywane będą</w:t>
      </w:r>
      <w:r w:rsidRPr="00767038">
        <w:rPr>
          <w:lang w:val="pl-PL"/>
        </w:rPr>
        <w:t xml:space="preserve"> w porozumieniu z KPK</w:t>
      </w:r>
      <w:r w:rsidR="00455781" w:rsidRPr="00767038">
        <w:rPr>
          <w:lang w:val="pl-PL"/>
        </w:rPr>
        <w:t xml:space="preserve">, po wyznaczeniu </w:t>
      </w:r>
      <w:r w:rsidR="00A35E94" w:rsidRPr="00767038">
        <w:rPr>
          <w:lang w:val="pl-PL"/>
        </w:rPr>
        <w:t>Operatora</w:t>
      </w:r>
      <w:r w:rsidR="00455781" w:rsidRPr="00767038">
        <w:rPr>
          <w:lang w:val="pl-PL"/>
        </w:rPr>
        <w:t xml:space="preserve"> Programu</w:t>
      </w:r>
      <w:r w:rsidR="000C58A8" w:rsidRPr="00767038">
        <w:rPr>
          <w:rStyle w:val="Odwoanieprzypisudolnego"/>
          <w:lang w:val="pl-PL"/>
        </w:rPr>
        <w:footnoteReference w:id="6"/>
      </w:r>
      <w:r w:rsidR="000C58A8" w:rsidRPr="00767038">
        <w:rPr>
          <w:lang w:val="pl-PL"/>
        </w:rPr>
        <w:t>.</w:t>
      </w:r>
      <w:r w:rsidR="00FD085A" w:rsidRPr="00767038">
        <w:rPr>
          <w:lang w:val="pl-PL"/>
        </w:rPr>
        <w:t xml:space="preserve"> </w:t>
      </w:r>
    </w:p>
    <w:p w:rsidR="00723E54" w:rsidRPr="00767038" w:rsidRDefault="00FB2938" w:rsidP="00376576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26B31" wp14:editId="43F73295">
                <wp:simplePos x="0" y="0"/>
                <wp:positionH relativeFrom="margin">
                  <wp:posOffset>-71755</wp:posOffset>
                </wp:positionH>
                <wp:positionV relativeFrom="paragraph">
                  <wp:posOffset>1266825</wp:posOffset>
                </wp:positionV>
                <wp:extent cx="5769610" cy="3219450"/>
                <wp:effectExtent l="13970" t="9525" r="7620" b="504825"/>
                <wp:wrapSquare wrapText="bothSides"/>
                <wp:docPr id="20" name="Rounded 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3219450"/>
                        </a:xfrm>
                        <a:prstGeom prst="wedgeRoundRectCallout">
                          <a:avLst>
                            <a:gd name="adj1" fmla="val -20833"/>
                            <a:gd name="adj2" fmla="val 6514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1B56CF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Wydatki ponoszone w ramach Funduszu </w:t>
                            </w: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>Współpracy</w:t>
                            </w:r>
                            <w:r w:rsidRPr="00265F1A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Dwustronn</w:t>
                            </w: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lang w:val="pl-PL"/>
                              </w:rPr>
                              <w:t>ej</w:t>
                            </w:r>
                          </w:p>
                          <w:p w:rsidR="00C522D7" w:rsidRPr="00265F1A" w:rsidRDefault="00C522D7" w:rsidP="001B56CF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 kontekście F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inansowych raportów okresowych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i raportowania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płatności </w:t>
                            </w:r>
                            <w:r w:rsidRPr="00265F1A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salda końcowego, jako poniesione wydatki raportuje się:</w:t>
                            </w:r>
                          </w:p>
                          <w:p w:rsidR="00C522D7" w:rsidRPr="00966A91" w:rsidRDefault="00C522D7" w:rsidP="001B56CF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966A91">
                              <w:rPr>
                                <w:color w:val="4472C4" w:themeColor="accent5"/>
                                <w:sz w:val="18"/>
                                <w:u w:val="single"/>
                                <w:lang w:val="pl-PL"/>
                              </w:rPr>
                              <w:t>Środki finansowe zarządzane przez KPK:</w:t>
                            </w:r>
                          </w:p>
                          <w:p w:rsidR="00C522D7" w:rsidRPr="00966A91" w:rsidRDefault="00C522D7" w:rsidP="001E5526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• jeżeli KPK jest beneficjentem środków finansowych, KPK raportuje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rzeczywiście poniesione wydatki,</w:t>
                            </w:r>
                          </w:p>
                          <w:p w:rsidR="00C522D7" w:rsidRPr="00966A91" w:rsidRDefault="00C522D7" w:rsidP="001B56CF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• w przypadku pozostałych inicjatyw dwustronnych finansowanych przez KPK, np. wybranych w drodze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otwartych naborów</w:t>
                            </w: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lub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predefiniowanych</w:t>
                            </w: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inicjatyw dwustronnych, jako poniesione raportuje się płatności dokonane przez KPK na rzecz beneficjentów.</w:t>
                            </w:r>
                          </w:p>
                          <w:p w:rsidR="00C522D7" w:rsidRPr="00966A91" w:rsidRDefault="00C522D7" w:rsidP="001B56CF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966A91">
                              <w:rPr>
                                <w:color w:val="4472C4" w:themeColor="accent5"/>
                                <w:sz w:val="18"/>
                                <w:u w:val="single"/>
                                <w:lang w:val="pl-PL"/>
                              </w:rPr>
                              <w:t>Środki finansowe zarządzane przez OP:</w:t>
                            </w:r>
                          </w:p>
                          <w:p w:rsidR="00C522D7" w:rsidRPr="00966A91" w:rsidRDefault="00C522D7" w:rsidP="001B56CF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• jeżeli OP jest beneficjentem środków finansowych, wydatki rzeczywiście poniesione przez OP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,</w:t>
                            </w:r>
                          </w:p>
                          <w:p w:rsidR="00C522D7" w:rsidRPr="00966A91" w:rsidRDefault="00C522D7" w:rsidP="001B56CF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• w przypadku pozostałych inicjatyw dwustronnych finansowanych przez OP, np. wybranych w drodze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otwartych naborów</w:t>
                            </w: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lub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predefiniowanych</w:t>
                            </w:r>
                            <w:r w:rsidRPr="00966A9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inicjatyw dwustronnych, jako poniesione raportuje się płatności dokonane przez OP na rzecz beneficjentów.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3" type="#_x0000_t62" style="position:absolute;left:0;text-align:left;margin-left:-5.65pt;margin-top:99.75pt;width:454.3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" adj="6300,24872" fillcolor="white [3201]" strokecolor="black [3200]" strokeweight="1pt">
                <v:textbox>
                  <w:txbxContent>
                    <w:p w:rsidR="00C522D7" w:rsidRPr="00265F1A" w:rsidRDefault="00C522D7" w:rsidP="001B56CF">
                      <w:pPr>
                        <w:jc w:val="left"/>
                        <w:rPr>
                          <w:b/>
                          <w:color w:val="4472C4" w:themeColor="accent5"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 xml:space="preserve">Wydatki ponoszone w ramach Funduszu </w:t>
                      </w:r>
                      <w:r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>Współpracy</w:t>
                      </w:r>
                      <w:r w:rsidRPr="00265F1A"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 xml:space="preserve"> Dwustronn</w:t>
                      </w:r>
                      <w:r>
                        <w:rPr>
                          <w:b/>
                          <w:bCs/>
                          <w:color w:val="4472C4" w:themeColor="accent5"/>
                          <w:sz w:val="18"/>
                          <w:lang w:val="pl-PL"/>
                        </w:rPr>
                        <w:t>ej</w:t>
                      </w:r>
                    </w:p>
                    <w:p w:rsidR="00C522D7" w:rsidRPr="00265F1A" w:rsidRDefault="00C522D7" w:rsidP="001B56CF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>W kontekście F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inansowych raportów okresowych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i raportowania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płatności </w:t>
                      </w:r>
                      <w:r w:rsidRPr="00265F1A">
                        <w:rPr>
                          <w:color w:val="4472C4" w:themeColor="accent5"/>
                          <w:sz w:val="18"/>
                          <w:lang w:val="pl-PL"/>
                        </w:rPr>
                        <w:t>salda końcowego, jako poniesione wydatki raportuje się:</w:t>
                      </w:r>
                    </w:p>
                    <w:p w:rsidR="00C522D7" w:rsidRPr="00966A91" w:rsidRDefault="00C522D7" w:rsidP="001B56CF">
                      <w:pPr>
                        <w:jc w:val="left"/>
                        <w:rPr>
                          <w:color w:val="4472C4" w:themeColor="accent5"/>
                          <w:sz w:val="18"/>
                          <w:u w:val="single"/>
                          <w:lang w:val="pl-PL"/>
                        </w:rPr>
                      </w:pPr>
                      <w:r w:rsidRPr="00966A91">
                        <w:rPr>
                          <w:color w:val="4472C4" w:themeColor="accent5"/>
                          <w:sz w:val="18"/>
                          <w:u w:val="single"/>
                          <w:lang w:val="pl-PL"/>
                        </w:rPr>
                        <w:t>Środki finansowe zarządzane przez KPK:</w:t>
                      </w:r>
                    </w:p>
                    <w:p w:rsidR="00C522D7" w:rsidRPr="00966A91" w:rsidRDefault="00C522D7" w:rsidP="001E5526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• jeżeli KPK jest beneficjentem środków finansowych, KPK raportuje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rzeczywiście poniesione wydatki,</w:t>
                      </w:r>
                    </w:p>
                    <w:p w:rsidR="00C522D7" w:rsidRPr="00966A91" w:rsidRDefault="00C522D7" w:rsidP="001B56CF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• w przypadku pozostałych inicjatyw dwustronnych finansowanych przez KPK, np. wybranych w drodze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otwartych naborów</w:t>
                      </w: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lub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predefiniowanych</w:t>
                      </w: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inicjatyw dwustronnych, jako poniesione raportuje się płatności dokonane przez KPK na rzecz beneficjentów.</w:t>
                      </w:r>
                    </w:p>
                    <w:p w:rsidR="00C522D7" w:rsidRPr="00966A91" w:rsidRDefault="00C522D7" w:rsidP="001B56CF">
                      <w:pPr>
                        <w:jc w:val="left"/>
                        <w:rPr>
                          <w:color w:val="4472C4" w:themeColor="accent5"/>
                          <w:sz w:val="18"/>
                          <w:u w:val="single"/>
                          <w:lang w:val="pl-PL"/>
                        </w:rPr>
                      </w:pPr>
                      <w:r w:rsidRPr="00966A91">
                        <w:rPr>
                          <w:color w:val="4472C4" w:themeColor="accent5"/>
                          <w:sz w:val="18"/>
                          <w:u w:val="single"/>
                          <w:lang w:val="pl-PL"/>
                        </w:rPr>
                        <w:t>Środki finansowe zarządzane przez OP:</w:t>
                      </w:r>
                    </w:p>
                    <w:p w:rsidR="00C522D7" w:rsidRPr="00966A91" w:rsidRDefault="00C522D7" w:rsidP="001B56CF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>• jeżeli OP jest beneficjentem środków finansowych, wydatki rzeczywiście poniesione przez OP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,</w:t>
                      </w:r>
                    </w:p>
                    <w:p w:rsidR="00C522D7" w:rsidRPr="00966A91" w:rsidRDefault="00C522D7" w:rsidP="001B56CF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>• w przypadku pozostałych inicjatyw dwustronnych finansowanych przez OP, np. wybranych w drodze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otwartych naborów</w:t>
                      </w: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lub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predefiniowanych</w:t>
                      </w:r>
                      <w:r w:rsidRPr="00966A9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inicjatyw dwustronnych, jako poniesione raportuje się płatności dokonane przez OP na rzecz beneficjentów.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781" w:rsidRPr="00767038">
        <w:rPr>
          <w:lang w:val="pl-PL"/>
        </w:rPr>
        <w:t>S</w:t>
      </w:r>
      <w:r w:rsidR="001E5526" w:rsidRPr="00767038">
        <w:rPr>
          <w:lang w:val="pl-PL"/>
        </w:rPr>
        <w:t xml:space="preserve">ystemy zarządzania i </w:t>
      </w:r>
      <w:r w:rsidR="00455781" w:rsidRPr="00767038">
        <w:rPr>
          <w:lang w:val="pl-PL"/>
        </w:rPr>
        <w:t xml:space="preserve">kontroli na poziomie krajowym powinny </w:t>
      </w:r>
      <w:r w:rsidR="001E5526" w:rsidRPr="00767038">
        <w:rPr>
          <w:lang w:val="pl-PL"/>
        </w:rPr>
        <w:t>jasno opis</w:t>
      </w:r>
      <w:r w:rsidR="00455781" w:rsidRPr="00767038">
        <w:rPr>
          <w:lang w:val="pl-PL"/>
        </w:rPr>
        <w:t>ywać</w:t>
      </w:r>
      <w:r w:rsidR="001E5526" w:rsidRPr="00767038">
        <w:rPr>
          <w:lang w:val="pl-PL"/>
        </w:rPr>
        <w:t xml:space="preserve"> </w:t>
      </w:r>
      <w:r w:rsidR="00634251" w:rsidRPr="00767038">
        <w:rPr>
          <w:lang w:val="pl-PL"/>
        </w:rPr>
        <w:t>strukturę</w:t>
      </w:r>
      <w:r w:rsidR="001E5526" w:rsidRPr="00767038">
        <w:rPr>
          <w:lang w:val="pl-PL"/>
        </w:rPr>
        <w:t xml:space="preserve"> zarządzania Fundusz</w:t>
      </w:r>
      <w:r w:rsidR="00C37850">
        <w:rPr>
          <w:lang w:val="pl-PL"/>
        </w:rPr>
        <w:t>em</w:t>
      </w:r>
      <w:r w:rsidR="001E5526" w:rsidRPr="00767038">
        <w:rPr>
          <w:lang w:val="pl-PL"/>
        </w:rPr>
        <w:t xml:space="preserve"> </w:t>
      </w:r>
      <w:r w:rsidR="00CF7749" w:rsidRPr="00767038">
        <w:rPr>
          <w:lang w:val="pl-PL"/>
        </w:rPr>
        <w:t>Współpracy</w:t>
      </w:r>
      <w:r w:rsidR="001E5526"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="001B56CF" w:rsidRPr="00767038">
        <w:rPr>
          <w:lang w:val="pl-PL"/>
        </w:rPr>
        <w:t>,</w:t>
      </w:r>
      <w:r w:rsidR="001E5526" w:rsidRPr="00767038">
        <w:rPr>
          <w:lang w:val="pl-PL"/>
        </w:rPr>
        <w:t xml:space="preserve"> tj. weryfikację ponoszonych wydatków</w:t>
      </w:r>
      <w:r w:rsidR="001B56CF" w:rsidRPr="00767038">
        <w:rPr>
          <w:lang w:val="pl-PL"/>
        </w:rPr>
        <w:t xml:space="preserve">, </w:t>
      </w:r>
      <w:r w:rsidR="00455781" w:rsidRPr="00767038">
        <w:rPr>
          <w:lang w:val="pl-PL"/>
        </w:rPr>
        <w:t xml:space="preserve">instytucję </w:t>
      </w:r>
      <w:r w:rsidR="001E5526" w:rsidRPr="00767038">
        <w:rPr>
          <w:lang w:val="pl-PL"/>
        </w:rPr>
        <w:t>odpowiedzialną za weryfikacj</w:t>
      </w:r>
      <w:r w:rsidR="00455781" w:rsidRPr="00767038">
        <w:rPr>
          <w:lang w:val="pl-PL"/>
        </w:rPr>
        <w:t>ę</w:t>
      </w:r>
      <w:r w:rsidR="001E5526" w:rsidRPr="00767038">
        <w:rPr>
          <w:lang w:val="pl-PL"/>
        </w:rPr>
        <w:t xml:space="preserve">, a także jasny opis </w:t>
      </w:r>
      <w:r w:rsidR="00455781" w:rsidRPr="00767038">
        <w:rPr>
          <w:lang w:val="pl-PL"/>
        </w:rPr>
        <w:t xml:space="preserve">kluczowych </w:t>
      </w:r>
      <w:r w:rsidR="001E5526" w:rsidRPr="00767038">
        <w:rPr>
          <w:lang w:val="pl-PL"/>
        </w:rPr>
        <w:t xml:space="preserve">funkcji i </w:t>
      </w:r>
      <w:r w:rsidR="00A35E94" w:rsidRPr="00767038">
        <w:rPr>
          <w:lang w:val="pl-PL"/>
        </w:rPr>
        <w:t>operacji, uwzględniający</w:t>
      </w:r>
      <w:r w:rsidR="00455781" w:rsidRPr="00767038">
        <w:rPr>
          <w:lang w:val="pl-PL"/>
        </w:rPr>
        <w:t xml:space="preserve"> rol</w:t>
      </w:r>
      <w:r w:rsidR="00C37850">
        <w:rPr>
          <w:lang w:val="pl-PL"/>
        </w:rPr>
        <w:t>ę</w:t>
      </w:r>
      <w:r w:rsidR="00455781" w:rsidRPr="00767038">
        <w:rPr>
          <w:lang w:val="pl-PL"/>
        </w:rPr>
        <w:t xml:space="preserve"> </w:t>
      </w:r>
      <w:r w:rsidR="00A35E94" w:rsidRPr="00767038">
        <w:rPr>
          <w:lang w:val="pl-PL"/>
        </w:rPr>
        <w:t>KPK, jako</w:t>
      </w:r>
      <w:r w:rsidR="00455781" w:rsidRPr="00767038">
        <w:rPr>
          <w:lang w:val="pl-PL"/>
        </w:rPr>
        <w:t xml:space="preserve"> instytucji </w:t>
      </w:r>
      <w:r w:rsidR="001E5526" w:rsidRPr="00767038">
        <w:rPr>
          <w:lang w:val="pl-PL"/>
        </w:rPr>
        <w:t>odpowiedzialnej za wykorzystanie środków pieniężnych</w:t>
      </w:r>
      <w:r w:rsidR="00455781" w:rsidRPr="00767038">
        <w:rPr>
          <w:lang w:val="pl-PL"/>
        </w:rPr>
        <w:t>, jeśli dotyczy</w:t>
      </w:r>
      <w:r w:rsidR="001E5526" w:rsidRPr="00767038">
        <w:rPr>
          <w:lang w:val="pl-PL"/>
        </w:rPr>
        <w:t xml:space="preserve"> (art. 4.6.2 </w:t>
      </w:r>
      <w:r w:rsidR="005A62D3" w:rsidRPr="00767038">
        <w:rPr>
          <w:lang w:val="pl-PL"/>
        </w:rPr>
        <w:t>Regulacji</w:t>
      </w:r>
      <w:r w:rsidR="001B56CF" w:rsidRPr="00767038">
        <w:rPr>
          <w:lang w:val="pl-PL"/>
        </w:rPr>
        <w:t xml:space="preserve">). </w:t>
      </w:r>
      <w:r w:rsidR="001E5526" w:rsidRPr="00767038">
        <w:rPr>
          <w:lang w:val="pl-PL"/>
        </w:rPr>
        <w:t xml:space="preserve">Strukturę i wymagania </w:t>
      </w:r>
      <w:r w:rsidR="00455781" w:rsidRPr="00767038">
        <w:rPr>
          <w:lang w:val="pl-PL"/>
        </w:rPr>
        <w:t xml:space="preserve">co do </w:t>
      </w:r>
      <w:r w:rsidR="001E5526" w:rsidRPr="00767038">
        <w:rPr>
          <w:lang w:val="pl-PL"/>
        </w:rPr>
        <w:t xml:space="preserve">systemów zarządzania i kontroli na poziomie krajowym przedstawiono bardziej szczegółowo w sekcji </w:t>
      </w:r>
      <w:r w:rsidR="00D24873" w:rsidRPr="00767038">
        <w:rPr>
          <w:lang w:val="pl-PL"/>
        </w:rPr>
        <w:fldChar w:fldCharType="begin"/>
      </w:r>
      <w:r w:rsidR="00D24873" w:rsidRPr="00767038">
        <w:rPr>
          <w:lang w:val="pl-PL"/>
        </w:rPr>
        <w:instrText xml:space="preserve"> REF _Ref462389994 \r \h  \* MERGEFORMAT </w:instrText>
      </w:r>
      <w:r w:rsidR="00D24873" w:rsidRPr="00767038">
        <w:rPr>
          <w:lang w:val="pl-PL"/>
        </w:rPr>
      </w:r>
      <w:r w:rsidR="00D24873" w:rsidRPr="00767038">
        <w:rPr>
          <w:lang w:val="pl-PL"/>
        </w:rPr>
        <w:fldChar w:fldCharType="separate"/>
      </w:r>
      <w:r w:rsidR="00112756" w:rsidRPr="00767038">
        <w:rPr>
          <w:lang w:val="pl-PL"/>
        </w:rPr>
        <w:t>2.11</w:t>
      </w:r>
      <w:r w:rsidR="00D24873" w:rsidRPr="00767038">
        <w:rPr>
          <w:lang w:val="pl-PL"/>
        </w:rPr>
        <w:fldChar w:fldCharType="end"/>
      </w:r>
      <w:r w:rsidR="001B56CF" w:rsidRPr="00767038">
        <w:rPr>
          <w:lang w:val="pl-PL"/>
        </w:rPr>
        <w:t>.</w:t>
      </w:r>
    </w:p>
    <w:p w:rsidR="00C27B08" w:rsidRPr="00767038" w:rsidRDefault="00A94673" w:rsidP="00376576">
      <w:pPr>
        <w:rPr>
          <w:lang w:val="pl-PL"/>
        </w:rPr>
      </w:pPr>
      <w:r w:rsidRPr="00767038">
        <w:rPr>
          <w:lang w:val="pl-PL"/>
        </w:rPr>
        <w:t xml:space="preserve">W odniesieniu do </w:t>
      </w:r>
      <w:r w:rsidR="001310A8" w:rsidRPr="00767038">
        <w:rPr>
          <w:lang w:val="pl-PL"/>
        </w:rPr>
        <w:t xml:space="preserve">alokacji </w:t>
      </w:r>
      <w:r w:rsidRPr="00767038">
        <w:rPr>
          <w:lang w:val="pl-PL"/>
        </w:rPr>
        <w:t xml:space="preserve">przyznanej </w:t>
      </w:r>
      <w:r w:rsidR="001310A8" w:rsidRPr="00767038">
        <w:rPr>
          <w:lang w:val="pl-PL"/>
        </w:rPr>
        <w:t>na programy</w:t>
      </w:r>
      <w:r w:rsidRPr="00767038">
        <w:rPr>
          <w:lang w:val="pl-PL"/>
        </w:rPr>
        <w:t>,</w:t>
      </w:r>
      <w:r w:rsidR="001310A8" w:rsidRPr="00767038">
        <w:rPr>
          <w:lang w:val="pl-PL"/>
        </w:rPr>
        <w:t xml:space="preserve"> środkami finansowymi </w:t>
      </w:r>
      <w:r w:rsidRPr="00767038">
        <w:rPr>
          <w:lang w:val="pl-PL"/>
        </w:rPr>
        <w:t>w ramach</w:t>
      </w:r>
      <w:r w:rsidR="001310A8" w:rsidRPr="00767038">
        <w:rPr>
          <w:lang w:val="pl-PL"/>
        </w:rPr>
        <w:t xml:space="preserve"> Funduszu </w:t>
      </w:r>
      <w:r w:rsidR="00CF7749" w:rsidRPr="00767038">
        <w:rPr>
          <w:lang w:val="pl-PL"/>
        </w:rPr>
        <w:t>Współpracy</w:t>
      </w:r>
      <w:r w:rsidR="001310A8"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="001310A8" w:rsidRPr="00767038">
        <w:rPr>
          <w:lang w:val="pl-PL"/>
        </w:rPr>
        <w:t xml:space="preserve"> zarządza odpowiedni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>, w porozumieniu z partnerem projektu z Państw-Darczyńców</w:t>
      </w:r>
      <w:r w:rsidR="001310A8" w:rsidRPr="00767038">
        <w:rPr>
          <w:lang w:val="pl-PL"/>
        </w:rPr>
        <w:t xml:space="preserve">, </w:t>
      </w:r>
      <w:r w:rsidRPr="00767038">
        <w:rPr>
          <w:lang w:val="pl-PL"/>
        </w:rPr>
        <w:t>jeśli dotyczy</w:t>
      </w:r>
      <w:r w:rsidR="00E015D2" w:rsidRPr="00767038">
        <w:rPr>
          <w:lang w:val="pl-PL"/>
        </w:rPr>
        <w:t xml:space="preserve">. </w:t>
      </w:r>
      <w:r w:rsidR="00634251" w:rsidRPr="00767038">
        <w:rPr>
          <w:lang w:val="pl-PL"/>
        </w:rPr>
        <w:t xml:space="preserve">Decyzje dotyczące zarządzania i wykorzystania środków finansowych z Funduszu </w:t>
      </w:r>
      <w:r w:rsidR="00CF7749" w:rsidRPr="00767038">
        <w:rPr>
          <w:lang w:val="pl-PL"/>
        </w:rPr>
        <w:t>Współpracy</w:t>
      </w:r>
      <w:r w:rsidR="00634251"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="00634251" w:rsidRPr="00767038">
        <w:rPr>
          <w:lang w:val="pl-PL"/>
        </w:rPr>
        <w:t xml:space="preserve"> alokowanych na programy </w:t>
      </w:r>
      <w:r w:rsidRPr="00767038">
        <w:rPr>
          <w:lang w:val="pl-PL"/>
        </w:rPr>
        <w:t>wdrażan</w:t>
      </w:r>
      <w:r w:rsidR="00C37850">
        <w:rPr>
          <w:lang w:val="pl-PL"/>
        </w:rPr>
        <w:t>e</w:t>
      </w:r>
      <w:r w:rsidR="00634251" w:rsidRPr="00767038">
        <w:rPr>
          <w:lang w:val="pl-PL"/>
        </w:rPr>
        <w:t xml:space="preserve"> we współpracy z </w:t>
      </w:r>
      <w:r w:rsidRPr="00767038">
        <w:rPr>
          <w:lang w:val="pl-PL"/>
        </w:rPr>
        <w:t xml:space="preserve">partnerem projektu z </w:t>
      </w:r>
      <w:r w:rsidRPr="00767038">
        <w:rPr>
          <w:lang w:val="pl-PL"/>
        </w:rPr>
        <w:lastRenderedPageBreak/>
        <w:t>Państw-Darczyńców</w:t>
      </w:r>
      <w:r w:rsidR="00634251" w:rsidRPr="00767038">
        <w:rPr>
          <w:lang w:val="pl-PL"/>
        </w:rPr>
        <w:t xml:space="preserve">, podejmuje się w drodze wypracowania konsensusu między </w:t>
      </w:r>
      <w:r w:rsidR="00315981" w:rsidRPr="00767038">
        <w:rPr>
          <w:lang w:val="pl-PL"/>
        </w:rPr>
        <w:t>Operator</w:t>
      </w:r>
      <w:r w:rsidRPr="00767038">
        <w:rPr>
          <w:lang w:val="pl-PL"/>
        </w:rPr>
        <w:t>em</w:t>
      </w:r>
      <w:r w:rsidR="00315981" w:rsidRPr="00767038">
        <w:rPr>
          <w:lang w:val="pl-PL"/>
        </w:rPr>
        <w:t xml:space="preserve"> Programu</w:t>
      </w:r>
      <w:r w:rsidR="00634251" w:rsidRPr="00767038">
        <w:rPr>
          <w:lang w:val="pl-PL"/>
        </w:rPr>
        <w:t xml:space="preserve"> i </w:t>
      </w:r>
      <w:r w:rsidRPr="00767038">
        <w:rPr>
          <w:lang w:val="pl-PL"/>
        </w:rPr>
        <w:t>partnerem projektu z Państw-Darczyńców</w:t>
      </w:r>
      <w:r w:rsidR="00634251" w:rsidRPr="00767038">
        <w:rPr>
          <w:lang w:val="pl-PL"/>
        </w:rPr>
        <w:t xml:space="preserve"> w </w:t>
      </w:r>
      <w:r w:rsidRPr="00767038">
        <w:rPr>
          <w:lang w:val="pl-PL"/>
        </w:rPr>
        <w:t xml:space="preserve">ramach </w:t>
      </w:r>
      <w:r w:rsidR="00634251" w:rsidRPr="00767038">
        <w:rPr>
          <w:lang w:val="pl-PL"/>
        </w:rPr>
        <w:t>Komite</w:t>
      </w:r>
      <w:r w:rsidRPr="00767038">
        <w:rPr>
          <w:lang w:val="pl-PL"/>
        </w:rPr>
        <w:t>tu</w:t>
      </w:r>
      <w:r w:rsidR="00634251" w:rsidRPr="00767038">
        <w:rPr>
          <w:lang w:val="pl-PL"/>
        </w:rPr>
        <w:t xml:space="preserve"> Współpracy</w:t>
      </w:r>
      <w:r w:rsidR="00E015D2" w:rsidRPr="00767038">
        <w:rPr>
          <w:lang w:val="pl-PL"/>
        </w:rPr>
        <w:t xml:space="preserve">. </w:t>
      </w:r>
      <w:r w:rsidR="00634251" w:rsidRPr="00767038">
        <w:rPr>
          <w:lang w:val="pl-PL"/>
        </w:rPr>
        <w:t xml:space="preserve">Wszelkie koszty zarządzania, które ponosi </w:t>
      </w:r>
      <w:r w:rsidR="00315981" w:rsidRPr="00767038">
        <w:rPr>
          <w:lang w:val="pl-PL"/>
        </w:rPr>
        <w:t>Operator Programu</w:t>
      </w:r>
      <w:r w:rsidR="00634251" w:rsidRPr="00767038">
        <w:rPr>
          <w:lang w:val="pl-PL"/>
        </w:rPr>
        <w:t xml:space="preserve"> (np. otwartych </w:t>
      </w:r>
      <w:r w:rsidRPr="00767038">
        <w:rPr>
          <w:lang w:val="pl-PL"/>
        </w:rPr>
        <w:t>naborów</w:t>
      </w:r>
      <w:r w:rsidR="00634251" w:rsidRPr="00767038">
        <w:rPr>
          <w:lang w:val="pl-PL"/>
        </w:rPr>
        <w:t>, wyboru działań) w związku z wdrażaniem Funduszu, mogą zostać pokryte w ramach pozycji budżetowej kosztów zarządzania programem</w:t>
      </w:r>
      <w:r w:rsidR="00FD085A" w:rsidRPr="00767038">
        <w:rPr>
          <w:lang w:val="pl-PL"/>
        </w:rPr>
        <w:t>.</w:t>
      </w:r>
    </w:p>
    <w:p w:rsidR="006C023C" w:rsidRPr="00767038" w:rsidRDefault="006C023C" w:rsidP="0049030C">
      <w:pPr>
        <w:pStyle w:val="Legenda"/>
        <w:rPr>
          <w:lang w:val="pl-PL"/>
        </w:rPr>
      </w:pPr>
      <w:bookmarkStart w:id="40" w:name="_Toc467246321"/>
      <w:bookmarkStart w:id="41" w:name="_Toc486413515"/>
      <w:bookmarkStart w:id="42" w:name="Forth_table"/>
      <w:r w:rsidRPr="00767038">
        <w:rPr>
          <w:iCs/>
          <w:lang w:val="pl-PL"/>
        </w:rPr>
        <w:t>Ta</w:t>
      </w:r>
      <w:r w:rsidR="00634251" w:rsidRPr="00767038">
        <w:rPr>
          <w:iCs/>
          <w:lang w:val="pl-PL"/>
        </w:rPr>
        <w:t>bela</w:t>
      </w:r>
      <w:r w:rsidR="00FD085A" w:rsidRPr="00767038">
        <w:rPr>
          <w:iCs/>
          <w:lang w:val="pl-PL"/>
        </w:rPr>
        <w:t xml:space="preserve"> </w:t>
      </w:r>
      <w:r w:rsidR="00212C8A" w:rsidRPr="00767038">
        <w:rPr>
          <w:lang w:val="pl-PL"/>
        </w:rPr>
        <w:fldChar w:fldCharType="begin"/>
      </w:r>
      <w:r w:rsidR="003E5D80" w:rsidRPr="00767038">
        <w:rPr>
          <w:lang w:val="pl-PL"/>
        </w:rPr>
        <w:instrText xml:space="preserve"> SEQ Table \* ARABIC </w:instrText>
      </w:r>
      <w:r w:rsidR="00212C8A" w:rsidRPr="00767038">
        <w:rPr>
          <w:lang w:val="pl-PL"/>
        </w:rPr>
        <w:fldChar w:fldCharType="separate"/>
      </w:r>
      <w:r w:rsidR="00112756" w:rsidRPr="00767038">
        <w:rPr>
          <w:noProof/>
          <w:lang w:val="pl-PL"/>
        </w:rPr>
        <w:t>4</w:t>
      </w:r>
      <w:r w:rsidR="00212C8A" w:rsidRPr="00767038">
        <w:rPr>
          <w:iCs/>
          <w:noProof/>
          <w:lang w:val="pl-PL"/>
        </w:rPr>
        <w:fldChar w:fldCharType="end"/>
      </w:r>
      <w:r w:rsidRPr="00767038">
        <w:rPr>
          <w:iCs/>
          <w:lang w:val="pl-PL"/>
        </w:rPr>
        <w:t>:</w:t>
      </w:r>
      <w:r w:rsidR="00634251" w:rsidRPr="00767038">
        <w:rPr>
          <w:iCs/>
          <w:lang w:val="pl-PL"/>
        </w:rPr>
        <w:t xml:space="preserve"> Struktura budżetu</w:t>
      </w:r>
      <w:bookmarkEnd w:id="40"/>
      <w:bookmarkEnd w:id="41"/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7054"/>
        <w:gridCol w:w="2189"/>
      </w:tblGrid>
      <w:tr w:rsidR="00726302" w:rsidRPr="00767038" w:rsidTr="0050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7054" w:type="dxa"/>
            <w:vAlign w:val="center"/>
          </w:tcPr>
          <w:bookmarkEnd w:id="42"/>
          <w:p w:rsidR="00026095" w:rsidRPr="00767038" w:rsidRDefault="00634251" w:rsidP="00A01A2D">
            <w:pPr>
              <w:spacing w:line="276" w:lineRule="auto"/>
              <w:jc w:val="center"/>
              <w:rPr>
                <w:sz w:val="18"/>
                <w:lang w:val="pl-PL"/>
              </w:rPr>
            </w:pPr>
            <w:r w:rsidRPr="00767038">
              <w:rPr>
                <w:bCs/>
                <w:sz w:val="18"/>
                <w:lang w:val="pl-PL"/>
              </w:rPr>
              <w:t xml:space="preserve">Fundusz </w:t>
            </w:r>
            <w:r w:rsidR="00CF7749" w:rsidRPr="00767038">
              <w:rPr>
                <w:bCs/>
                <w:sz w:val="18"/>
                <w:lang w:val="pl-PL"/>
              </w:rPr>
              <w:t>Współpracy</w:t>
            </w:r>
            <w:r w:rsidRPr="00767038">
              <w:rPr>
                <w:bCs/>
                <w:sz w:val="18"/>
                <w:lang w:val="pl-PL"/>
              </w:rPr>
              <w:t xml:space="preserve"> </w:t>
            </w:r>
            <w:r w:rsidR="00CF7749" w:rsidRPr="00767038">
              <w:rPr>
                <w:bCs/>
                <w:sz w:val="18"/>
                <w:lang w:val="pl-PL"/>
              </w:rPr>
              <w:t>Dwustronnej</w:t>
            </w:r>
          </w:p>
        </w:tc>
        <w:tc>
          <w:tcPr>
            <w:tcW w:w="2189" w:type="dxa"/>
            <w:vAlign w:val="center"/>
          </w:tcPr>
          <w:p w:rsidR="00026095" w:rsidRPr="00767038" w:rsidRDefault="00026095" w:rsidP="00EF3B6D">
            <w:pPr>
              <w:spacing w:line="276" w:lineRule="auto"/>
              <w:jc w:val="center"/>
              <w:rPr>
                <w:sz w:val="18"/>
                <w:lang w:val="pl-PL"/>
              </w:rPr>
            </w:pPr>
          </w:p>
        </w:tc>
      </w:tr>
      <w:tr w:rsidR="003A1E3E" w:rsidRPr="00767038" w:rsidTr="00506A1D">
        <w:trPr>
          <w:trHeight w:hRule="exact" w:val="397"/>
        </w:trPr>
        <w:tc>
          <w:tcPr>
            <w:tcW w:w="7054" w:type="dxa"/>
          </w:tcPr>
          <w:p w:rsidR="003A1E3E" w:rsidRPr="00767038" w:rsidRDefault="00634251" w:rsidP="00784888">
            <w:pPr>
              <w:spacing w:line="276" w:lineRule="auto"/>
              <w:jc w:val="lef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Działania prowadzone przez KPK</w:t>
            </w:r>
          </w:p>
        </w:tc>
        <w:tc>
          <w:tcPr>
            <w:tcW w:w="2189" w:type="dxa"/>
            <w:vAlign w:val="center"/>
          </w:tcPr>
          <w:p w:rsidR="003A1E3E" w:rsidRPr="00767038" w:rsidRDefault="006D7F46" w:rsidP="00634251">
            <w:pPr>
              <w:spacing w:line="276" w:lineRule="auto"/>
              <w:jc w:val="righ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500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FD085A" w:rsidRPr="00767038">
              <w:rPr>
                <w:sz w:val="18"/>
                <w:lang w:val="pl-PL"/>
              </w:rPr>
              <w:t xml:space="preserve"> </w:t>
            </w:r>
            <w:r w:rsidR="00634251" w:rsidRPr="00767038">
              <w:rPr>
                <w:sz w:val="18"/>
                <w:lang w:val="pl-PL"/>
              </w:rPr>
              <w:t>euro</w:t>
            </w:r>
          </w:p>
        </w:tc>
      </w:tr>
      <w:tr w:rsidR="003A1E3E" w:rsidRPr="00767038" w:rsidTr="00506A1D">
        <w:trPr>
          <w:trHeight w:hRule="exact" w:val="397"/>
        </w:trPr>
        <w:tc>
          <w:tcPr>
            <w:tcW w:w="7054" w:type="dxa"/>
          </w:tcPr>
          <w:p w:rsidR="003A1E3E" w:rsidRPr="00767038" w:rsidRDefault="00A94673" w:rsidP="00784888">
            <w:pPr>
              <w:spacing w:line="276" w:lineRule="auto"/>
              <w:jc w:val="lef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Nabory wniosków</w:t>
            </w:r>
            <w:r w:rsidR="003B756B" w:rsidRPr="00767038">
              <w:rPr>
                <w:sz w:val="18"/>
                <w:lang w:val="pl-PL"/>
              </w:rPr>
              <w:t xml:space="preserve"> (</w:t>
            </w:r>
            <w:r w:rsidR="00634251" w:rsidRPr="00767038">
              <w:rPr>
                <w:sz w:val="18"/>
                <w:lang w:val="pl-PL"/>
              </w:rPr>
              <w:t xml:space="preserve">poziom krajowy, jedna linia dla każdego </w:t>
            </w:r>
            <w:r w:rsidRPr="00767038">
              <w:rPr>
                <w:sz w:val="18"/>
                <w:lang w:val="pl-PL"/>
              </w:rPr>
              <w:t>naboru</w:t>
            </w:r>
            <w:r w:rsidR="003B756B" w:rsidRPr="00767038">
              <w:rPr>
                <w:sz w:val="18"/>
                <w:lang w:val="pl-PL"/>
              </w:rPr>
              <w:t>)</w:t>
            </w:r>
          </w:p>
        </w:tc>
        <w:tc>
          <w:tcPr>
            <w:tcW w:w="2189" w:type="dxa"/>
            <w:vAlign w:val="center"/>
          </w:tcPr>
          <w:p w:rsidR="003A1E3E" w:rsidRPr="00767038" w:rsidRDefault="006D7F46" w:rsidP="00634251">
            <w:pPr>
              <w:spacing w:line="276" w:lineRule="auto"/>
              <w:jc w:val="righ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400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FD085A" w:rsidRPr="00767038">
              <w:rPr>
                <w:sz w:val="18"/>
                <w:lang w:val="pl-PL"/>
              </w:rPr>
              <w:t xml:space="preserve"> </w:t>
            </w:r>
            <w:r w:rsidR="00634251" w:rsidRPr="00767038">
              <w:rPr>
                <w:sz w:val="18"/>
                <w:lang w:val="pl-PL"/>
              </w:rPr>
              <w:t>euro</w:t>
            </w:r>
          </w:p>
        </w:tc>
      </w:tr>
      <w:tr w:rsidR="003A1E3E" w:rsidRPr="00767038" w:rsidTr="00506A1D">
        <w:trPr>
          <w:trHeight w:hRule="exact" w:val="397"/>
        </w:trPr>
        <w:tc>
          <w:tcPr>
            <w:tcW w:w="7054" w:type="dxa"/>
          </w:tcPr>
          <w:p w:rsidR="003A1E3E" w:rsidRPr="00767038" w:rsidRDefault="00A94673" w:rsidP="00784888">
            <w:pPr>
              <w:spacing w:line="276" w:lineRule="auto"/>
              <w:jc w:val="lef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D</w:t>
            </w:r>
            <w:r w:rsidR="00634251" w:rsidRPr="00767038">
              <w:rPr>
                <w:sz w:val="18"/>
                <w:lang w:val="pl-PL"/>
              </w:rPr>
              <w:t>ziałania</w:t>
            </w:r>
            <w:r w:rsidRPr="00767038">
              <w:rPr>
                <w:sz w:val="18"/>
                <w:lang w:val="pl-PL"/>
              </w:rPr>
              <w:t xml:space="preserve"> </w:t>
            </w:r>
            <w:r w:rsidR="00A35E94" w:rsidRPr="00767038">
              <w:rPr>
                <w:sz w:val="18"/>
                <w:lang w:val="pl-PL"/>
              </w:rPr>
              <w:t>predefiniowane</w:t>
            </w:r>
            <w:r w:rsidR="003B756B" w:rsidRPr="00767038">
              <w:rPr>
                <w:sz w:val="18"/>
                <w:lang w:val="pl-PL"/>
              </w:rPr>
              <w:t xml:space="preserve"> (</w:t>
            </w:r>
            <w:r w:rsidR="00634251" w:rsidRPr="00767038">
              <w:rPr>
                <w:sz w:val="18"/>
                <w:lang w:val="pl-PL"/>
              </w:rPr>
              <w:t>poziom krajowy</w:t>
            </w:r>
            <w:r w:rsidR="003B756B" w:rsidRPr="00767038">
              <w:rPr>
                <w:sz w:val="18"/>
                <w:lang w:val="pl-PL"/>
              </w:rPr>
              <w:t>)</w:t>
            </w:r>
          </w:p>
        </w:tc>
        <w:tc>
          <w:tcPr>
            <w:tcW w:w="2189" w:type="dxa"/>
            <w:vAlign w:val="center"/>
          </w:tcPr>
          <w:p w:rsidR="003A1E3E" w:rsidRPr="00767038" w:rsidRDefault="006D7F46" w:rsidP="00634251">
            <w:pPr>
              <w:spacing w:line="276" w:lineRule="auto"/>
              <w:jc w:val="righ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600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FD085A" w:rsidRPr="00767038">
              <w:rPr>
                <w:sz w:val="18"/>
                <w:lang w:val="pl-PL"/>
              </w:rPr>
              <w:t xml:space="preserve"> </w:t>
            </w:r>
            <w:r w:rsidR="00634251" w:rsidRPr="00767038">
              <w:rPr>
                <w:sz w:val="18"/>
                <w:lang w:val="pl-PL"/>
              </w:rPr>
              <w:t>euro</w:t>
            </w:r>
          </w:p>
        </w:tc>
      </w:tr>
      <w:tr w:rsidR="003A1E3E" w:rsidRPr="00767038" w:rsidTr="00506A1D">
        <w:trPr>
          <w:trHeight w:hRule="exact" w:val="397"/>
        </w:trPr>
        <w:tc>
          <w:tcPr>
            <w:tcW w:w="7054" w:type="dxa"/>
          </w:tcPr>
          <w:p w:rsidR="003A1E3E" w:rsidRPr="00767038" w:rsidRDefault="00634251" w:rsidP="00784888">
            <w:pPr>
              <w:spacing w:line="276" w:lineRule="auto"/>
              <w:jc w:val="lef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 xml:space="preserve">Działania prowadzone przez </w:t>
            </w:r>
            <w:r w:rsidR="00315981" w:rsidRPr="00767038">
              <w:rPr>
                <w:sz w:val="18"/>
                <w:lang w:val="pl-PL"/>
              </w:rPr>
              <w:t>Operator</w:t>
            </w:r>
            <w:r w:rsidR="00CB3DFD" w:rsidRPr="00767038">
              <w:rPr>
                <w:sz w:val="18"/>
                <w:lang w:val="pl-PL"/>
              </w:rPr>
              <w:t>a</w:t>
            </w:r>
            <w:r w:rsidR="00315981" w:rsidRPr="00767038">
              <w:rPr>
                <w:sz w:val="18"/>
                <w:lang w:val="pl-PL"/>
              </w:rPr>
              <w:t xml:space="preserve"> Programu</w:t>
            </w:r>
            <w:r w:rsidRPr="00767038">
              <w:rPr>
                <w:sz w:val="18"/>
                <w:lang w:val="pl-PL"/>
              </w:rPr>
              <w:t xml:space="preserve"> w programie </w:t>
            </w:r>
            <w:r w:rsidR="001B56CF" w:rsidRPr="00767038">
              <w:rPr>
                <w:sz w:val="18"/>
                <w:lang w:val="pl-PL"/>
              </w:rPr>
              <w:t>X##</w:t>
            </w:r>
          </w:p>
        </w:tc>
        <w:tc>
          <w:tcPr>
            <w:tcW w:w="2189" w:type="dxa"/>
            <w:vAlign w:val="center"/>
          </w:tcPr>
          <w:p w:rsidR="003A1E3E" w:rsidRPr="00767038" w:rsidRDefault="006D7F46" w:rsidP="00634251">
            <w:pPr>
              <w:spacing w:line="276" w:lineRule="auto"/>
              <w:jc w:val="righ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1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FD085A" w:rsidRPr="00767038">
              <w:rPr>
                <w:sz w:val="18"/>
                <w:lang w:val="pl-PL"/>
              </w:rPr>
              <w:t xml:space="preserve"> </w:t>
            </w:r>
            <w:r w:rsidR="00634251" w:rsidRPr="00767038">
              <w:rPr>
                <w:sz w:val="18"/>
                <w:lang w:val="pl-PL"/>
              </w:rPr>
              <w:t>euro</w:t>
            </w:r>
          </w:p>
        </w:tc>
      </w:tr>
      <w:tr w:rsidR="003A1E3E" w:rsidRPr="00767038" w:rsidTr="00506A1D">
        <w:trPr>
          <w:trHeight w:hRule="exact" w:val="397"/>
        </w:trPr>
        <w:tc>
          <w:tcPr>
            <w:tcW w:w="7054" w:type="dxa"/>
          </w:tcPr>
          <w:p w:rsidR="003A1E3E" w:rsidRPr="00767038" w:rsidRDefault="00CB3DFD" w:rsidP="00784888">
            <w:pPr>
              <w:spacing w:line="276" w:lineRule="auto"/>
              <w:jc w:val="lef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Nabory wniosków</w:t>
            </w:r>
            <w:r w:rsidR="00634251" w:rsidRPr="00767038">
              <w:rPr>
                <w:sz w:val="18"/>
                <w:lang w:val="pl-PL"/>
              </w:rPr>
              <w:t xml:space="preserve"> </w:t>
            </w:r>
            <w:r w:rsidR="001B56CF" w:rsidRPr="00767038">
              <w:rPr>
                <w:sz w:val="18"/>
                <w:lang w:val="pl-PL"/>
              </w:rPr>
              <w:t xml:space="preserve">(program XX##, </w:t>
            </w:r>
            <w:r w:rsidR="00634251" w:rsidRPr="00767038">
              <w:rPr>
                <w:sz w:val="18"/>
                <w:lang w:val="pl-PL"/>
              </w:rPr>
              <w:t xml:space="preserve">jedna linia dla każdego </w:t>
            </w:r>
            <w:r w:rsidRPr="00767038">
              <w:rPr>
                <w:sz w:val="18"/>
                <w:lang w:val="pl-PL"/>
              </w:rPr>
              <w:t>naboru</w:t>
            </w:r>
            <w:r w:rsidR="001B56CF" w:rsidRPr="00767038">
              <w:rPr>
                <w:sz w:val="18"/>
                <w:lang w:val="pl-PL"/>
              </w:rPr>
              <w:t>)</w:t>
            </w:r>
          </w:p>
        </w:tc>
        <w:tc>
          <w:tcPr>
            <w:tcW w:w="2189" w:type="dxa"/>
            <w:vAlign w:val="center"/>
          </w:tcPr>
          <w:p w:rsidR="003A1E3E" w:rsidRPr="00767038" w:rsidRDefault="006D7F46" w:rsidP="00634251">
            <w:pPr>
              <w:spacing w:line="276" w:lineRule="auto"/>
              <w:jc w:val="righ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500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FD085A" w:rsidRPr="00767038">
              <w:rPr>
                <w:sz w:val="18"/>
                <w:lang w:val="pl-PL"/>
              </w:rPr>
              <w:t xml:space="preserve"> </w:t>
            </w:r>
            <w:r w:rsidR="00634251" w:rsidRPr="00767038">
              <w:rPr>
                <w:sz w:val="18"/>
                <w:lang w:val="pl-PL"/>
              </w:rPr>
              <w:t>euro</w:t>
            </w:r>
          </w:p>
        </w:tc>
      </w:tr>
      <w:tr w:rsidR="001B56CF" w:rsidRPr="00767038" w:rsidTr="00506A1D">
        <w:trPr>
          <w:trHeight w:hRule="exact" w:val="397"/>
        </w:trPr>
        <w:tc>
          <w:tcPr>
            <w:tcW w:w="7054" w:type="dxa"/>
          </w:tcPr>
          <w:p w:rsidR="001B56CF" w:rsidRPr="00767038" w:rsidRDefault="00CB3DFD" w:rsidP="00784888">
            <w:pPr>
              <w:spacing w:line="276" w:lineRule="auto"/>
              <w:jc w:val="lef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D</w:t>
            </w:r>
            <w:r w:rsidR="00634251" w:rsidRPr="00767038">
              <w:rPr>
                <w:sz w:val="18"/>
                <w:lang w:val="pl-PL"/>
              </w:rPr>
              <w:t>ziałania</w:t>
            </w:r>
            <w:r w:rsidRPr="00767038">
              <w:rPr>
                <w:sz w:val="18"/>
                <w:lang w:val="pl-PL"/>
              </w:rPr>
              <w:t xml:space="preserve"> predefiniowane</w:t>
            </w:r>
            <w:r w:rsidR="00634251" w:rsidRPr="00767038">
              <w:rPr>
                <w:sz w:val="18"/>
                <w:lang w:val="pl-PL"/>
              </w:rPr>
              <w:t xml:space="preserve"> </w:t>
            </w:r>
            <w:r w:rsidR="00E84C25" w:rsidRPr="00767038">
              <w:rPr>
                <w:sz w:val="18"/>
                <w:lang w:val="pl-PL"/>
              </w:rPr>
              <w:t>(program XX##)</w:t>
            </w:r>
          </w:p>
        </w:tc>
        <w:tc>
          <w:tcPr>
            <w:tcW w:w="2189" w:type="dxa"/>
            <w:vAlign w:val="center"/>
          </w:tcPr>
          <w:p w:rsidR="001B56CF" w:rsidRPr="00767038" w:rsidRDefault="006D7F46" w:rsidP="00634251">
            <w:pPr>
              <w:spacing w:line="276" w:lineRule="auto"/>
              <w:jc w:val="right"/>
              <w:rPr>
                <w:sz w:val="18"/>
                <w:lang w:val="pl-PL"/>
              </w:rPr>
            </w:pPr>
            <w:r w:rsidRPr="00767038">
              <w:rPr>
                <w:sz w:val="18"/>
                <w:lang w:val="pl-PL"/>
              </w:rPr>
              <w:t>500</w:t>
            </w:r>
            <w:r w:rsidR="00634251" w:rsidRPr="00767038">
              <w:rPr>
                <w:sz w:val="18"/>
                <w:lang w:val="pl-PL"/>
              </w:rPr>
              <w:t>.</w:t>
            </w:r>
            <w:r w:rsidRPr="00767038">
              <w:rPr>
                <w:sz w:val="18"/>
                <w:lang w:val="pl-PL"/>
              </w:rPr>
              <w:t>000</w:t>
            </w:r>
            <w:r w:rsidR="00FD085A" w:rsidRPr="00767038">
              <w:rPr>
                <w:sz w:val="18"/>
                <w:lang w:val="pl-PL"/>
              </w:rPr>
              <w:t xml:space="preserve"> </w:t>
            </w:r>
            <w:r w:rsidR="00634251" w:rsidRPr="00767038">
              <w:rPr>
                <w:sz w:val="18"/>
                <w:lang w:val="pl-PL"/>
              </w:rPr>
              <w:t>euro</w:t>
            </w:r>
          </w:p>
        </w:tc>
      </w:tr>
      <w:tr w:rsidR="00026095" w:rsidRPr="00767038" w:rsidTr="00506A1D">
        <w:trPr>
          <w:trHeight w:hRule="exact" w:val="472"/>
        </w:trPr>
        <w:tc>
          <w:tcPr>
            <w:tcW w:w="7054" w:type="dxa"/>
            <w:vAlign w:val="center"/>
          </w:tcPr>
          <w:p w:rsidR="00026095" w:rsidRPr="00767038" w:rsidRDefault="00026095" w:rsidP="00B90C4B">
            <w:pPr>
              <w:spacing w:line="276" w:lineRule="auto"/>
              <w:jc w:val="left"/>
              <w:rPr>
                <w:b/>
                <w:sz w:val="18"/>
                <w:lang w:val="pl-PL"/>
              </w:rPr>
            </w:pPr>
            <w:r w:rsidRPr="00767038">
              <w:rPr>
                <w:b/>
                <w:bCs/>
                <w:sz w:val="18"/>
                <w:lang w:val="pl-PL"/>
              </w:rPr>
              <w:t>Razem</w:t>
            </w:r>
          </w:p>
        </w:tc>
        <w:tc>
          <w:tcPr>
            <w:tcW w:w="2189" w:type="dxa"/>
            <w:vAlign w:val="center"/>
          </w:tcPr>
          <w:p w:rsidR="00026095" w:rsidRPr="00767038" w:rsidRDefault="006D7F46" w:rsidP="00634251">
            <w:pPr>
              <w:spacing w:line="276" w:lineRule="auto"/>
              <w:jc w:val="right"/>
              <w:rPr>
                <w:b/>
                <w:sz w:val="18"/>
                <w:lang w:val="pl-PL"/>
              </w:rPr>
            </w:pPr>
            <w:r w:rsidRPr="00767038">
              <w:rPr>
                <w:b/>
                <w:bCs/>
                <w:sz w:val="18"/>
                <w:lang w:val="pl-PL"/>
              </w:rPr>
              <w:t>3</w:t>
            </w:r>
            <w:r w:rsidR="00634251" w:rsidRPr="00767038">
              <w:rPr>
                <w:b/>
                <w:bCs/>
                <w:sz w:val="18"/>
                <w:lang w:val="pl-PL"/>
              </w:rPr>
              <w:t>.</w:t>
            </w:r>
            <w:r w:rsidRPr="00767038">
              <w:rPr>
                <w:b/>
                <w:bCs/>
                <w:sz w:val="18"/>
                <w:lang w:val="pl-PL"/>
              </w:rPr>
              <w:t>500</w:t>
            </w:r>
            <w:r w:rsidR="00634251" w:rsidRPr="00767038">
              <w:rPr>
                <w:b/>
                <w:bCs/>
                <w:sz w:val="18"/>
                <w:lang w:val="pl-PL"/>
              </w:rPr>
              <w:t>.</w:t>
            </w:r>
            <w:r w:rsidRPr="00767038">
              <w:rPr>
                <w:b/>
                <w:bCs/>
                <w:sz w:val="18"/>
                <w:lang w:val="pl-PL"/>
              </w:rPr>
              <w:t>000</w:t>
            </w:r>
            <w:r w:rsidR="00FD085A" w:rsidRPr="00767038">
              <w:rPr>
                <w:b/>
                <w:bCs/>
                <w:sz w:val="18"/>
                <w:lang w:val="pl-PL"/>
              </w:rPr>
              <w:t xml:space="preserve"> </w:t>
            </w:r>
            <w:r w:rsidR="00634251" w:rsidRPr="00767038">
              <w:rPr>
                <w:b/>
                <w:bCs/>
                <w:sz w:val="18"/>
                <w:lang w:val="pl-PL"/>
              </w:rPr>
              <w:t>euro</w:t>
            </w:r>
            <w:r w:rsidRPr="00767038">
              <w:rPr>
                <w:b/>
                <w:bCs/>
                <w:sz w:val="18"/>
                <w:lang w:val="pl-PL"/>
              </w:rPr>
              <w:t>*)</w:t>
            </w:r>
          </w:p>
        </w:tc>
      </w:tr>
    </w:tbl>
    <w:p w:rsidR="00533782" w:rsidRPr="00767038" w:rsidRDefault="00533782" w:rsidP="00376576">
      <w:pPr>
        <w:rPr>
          <w:sz w:val="16"/>
          <w:szCs w:val="16"/>
          <w:lang w:val="pl-PL"/>
        </w:rPr>
      </w:pPr>
      <w:r w:rsidRPr="00767038">
        <w:rPr>
          <w:sz w:val="16"/>
          <w:szCs w:val="16"/>
          <w:lang w:val="pl-PL"/>
        </w:rPr>
        <w:t xml:space="preserve">*) </w:t>
      </w:r>
      <w:r w:rsidR="00634251" w:rsidRPr="00767038">
        <w:rPr>
          <w:sz w:val="16"/>
          <w:szCs w:val="16"/>
          <w:lang w:val="pl-PL"/>
        </w:rPr>
        <w:t xml:space="preserve">Minimum 2% alokacji brutto </w:t>
      </w:r>
      <w:r w:rsidR="00CB3DFD" w:rsidRPr="00767038">
        <w:rPr>
          <w:sz w:val="16"/>
          <w:szCs w:val="16"/>
          <w:lang w:val="pl-PL"/>
        </w:rPr>
        <w:t>Państwa-Beneficjenta</w:t>
      </w:r>
      <w:r w:rsidR="00634251" w:rsidRPr="00767038">
        <w:rPr>
          <w:sz w:val="16"/>
          <w:szCs w:val="16"/>
          <w:lang w:val="pl-PL"/>
        </w:rPr>
        <w:t xml:space="preserve">, w tym koszty </w:t>
      </w:r>
      <w:r w:rsidR="00CB3DFD" w:rsidRPr="00767038">
        <w:rPr>
          <w:sz w:val="16"/>
          <w:szCs w:val="16"/>
          <w:lang w:val="pl-PL"/>
        </w:rPr>
        <w:t>P</w:t>
      </w:r>
      <w:r w:rsidR="00634251" w:rsidRPr="00767038">
        <w:rPr>
          <w:sz w:val="16"/>
          <w:szCs w:val="16"/>
          <w:lang w:val="pl-PL"/>
        </w:rPr>
        <w:t>aństw-</w:t>
      </w:r>
      <w:r w:rsidR="00CB3DFD" w:rsidRPr="00767038">
        <w:rPr>
          <w:sz w:val="16"/>
          <w:szCs w:val="16"/>
          <w:lang w:val="pl-PL"/>
        </w:rPr>
        <w:t>D</w:t>
      </w:r>
      <w:r w:rsidR="00634251" w:rsidRPr="00767038">
        <w:rPr>
          <w:sz w:val="16"/>
          <w:szCs w:val="16"/>
          <w:lang w:val="pl-PL"/>
        </w:rPr>
        <w:t>arczyńców.</w:t>
      </w:r>
    </w:p>
    <w:p w:rsidR="00533782" w:rsidRPr="00767038" w:rsidRDefault="00634251" w:rsidP="00376576">
      <w:pPr>
        <w:rPr>
          <w:lang w:val="pl-PL"/>
        </w:rPr>
      </w:pPr>
      <w:r w:rsidRPr="00767038">
        <w:rPr>
          <w:lang w:val="pl-PL"/>
        </w:rPr>
        <w:t xml:space="preserve">Wydatki poniesione i </w:t>
      </w:r>
      <w:r w:rsidR="00FF64A1" w:rsidRPr="00767038">
        <w:rPr>
          <w:lang w:val="pl-PL"/>
        </w:rPr>
        <w:t xml:space="preserve">planowane </w:t>
      </w:r>
      <w:r w:rsidRPr="00767038">
        <w:rPr>
          <w:lang w:val="pl-PL"/>
        </w:rPr>
        <w:t xml:space="preserve">w ramach Funduszu </w:t>
      </w:r>
      <w:r w:rsidR="00FF64A1" w:rsidRPr="00767038">
        <w:rPr>
          <w:lang w:val="pl-PL"/>
        </w:rPr>
        <w:t>powinny zostać za</w:t>
      </w:r>
      <w:r w:rsidRPr="00767038">
        <w:rPr>
          <w:lang w:val="pl-PL"/>
        </w:rPr>
        <w:t>raport</w:t>
      </w:r>
      <w:r w:rsidR="00FF64A1" w:rsidRPr="00767038">
        <w:rPr>
          <w:lang w:val="pl-PL"/>
        </w:rPr>
        <w:t>owane</w:t>
      </w:r>
      <w:r w:rsidRPr="00767038">
        <w:rPr>
          <w:lang w:val="pl-PL"/>
        </w:rPr>
        <w:t xml:space="preserve"> do BMF przy wykorzystaniu jednego skonsolidowanego </w:t>
      </w:r>
      <w:r w:rsidR="00FF64A1" w:rsidRPr="00767038">
        <w:rPr>
          <w:lang w:val="pl-PL"/>
        </w:rPr>
        <w:t>F</w:t>
      </w:r>
      <w:r w:rsidRPr="00767038">
        <w:rPr>
          <w:lang w:val="pl-PL"/>
        </w:rPr>
        <w:t xml:space="preserve">inansowego raportu okresowego (FRO) dla Funduszu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="00533782" w:rsidRPr="00767038">
        <w:rPr>
          <w:lang w:val="pl-PL"/>
        </w:rPr>
        <w:t>.</w:t>
      </w:r>
    </w:p>
    <w:p w:rsidR="00C60CB5" w:rsidRPr="00767038" w:rsidRDefault="00C60CB5" w:rsidP="007E73D6">
      <w:pPr>
        <w:spacing w:before="0" w:after="0"/>
        <w:rPr>
          <w:sz w:val="18"/>
          <w:szCs w:val="18"/>
          <w:lang w:val="pl-PL"/>
        </w:rPr>
      </w:pPr>
    </w:p>
    <w:p w:rsidR="00C60CB5" w:rsidRPr="00767038" w:rsidRDefault="008C2068" w:rsidP="007E73D6">
      <w:pPr>
        <w:spacing w:before="0" w:after="0"/>
        <w:rPr>
          <w:sz w:val="18"/>
          <w:szCs w:val="18"/>
          <w:lang w:val="pl-PL"/>
        </w:rPr>
      </w:pPr>
      <w:r w:rsidRPr="00767038">
        <w:rPr>
          <w:noProof/>
          <w:sz w:val="18"/>
          <w:szCs w:val="18"/>
          <w:lang w:val="pl-PL" w:eastAsia="pl-PL"/>
        </w:rPr>
        <w:drawing>
          <wp:inline distT="0" distB="0" distL="0" distR="0" wp14:anchorId="7D5C5AA9" wp14:editId="5B0F121C">
            <wp:extent cx="5732145" cy="4205346"/>
            <wp:effectExtent l="0" t="0" r="0" b="0"/>
            <wp:docPr id="2" name="Obraz 2" descr="C:\Users\Justyna_Beska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_Beska\Desktop\Obraz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D1" w:rsidRPr="00767038" w:rsidRDefault="006046D1" w:rsidP="007E73D6">
      <w:pPr>
        <w:spacing w:before="0" w:after="0"/>
        <w:rPr>
          <w:sz w:val="18"/>
          <w:szCs w:val="18"/>
          <w:lang w:val="pl-PL"/>
        </w:rPr>
      </w:pPr>
    </w:p>
    <w:p w:rsidR="00C60CB5" w:rsidRPr="00767038" w:rsidRDefault="00C60CB5" w:rsidP="007E73D6">
      <w:pPr>
        <w:spacing w:before="0" w:after="0"/>
        <w:rPr>
          <w:sz w:val="18"/>
          <w:szCs w:val="18"/>
          <w:lang w:val="pl-PL"/>
        </w:rPr>
      </w:pPr>
    </w:p>
    <w:p w:rsidR="00DA7821" w:rsidRPr="00767038" w:rsidRDefault="00634251" w:rsidP="00A0039A">
      <w:pPr>
        <w:pStyle w:val="Nagwek2"/>
        <w:rPr>
          <w:lang w:val="pl-PL"/>
        </w:rPr>
      </w:pPr>
      <w:bookmarkStart w:id="43" w:name="_Eligible_expenditure_of"/>
      <w:bookmarkStart w:id="44" w:name="_Ref462062505"/>
      <w:bookmarkStart w:id="45" w:name="_Toc505238507"/>
      <w:bookmarkEnd w:id="43"/>
      <w:r w:rsidRPr="00767038">
        <w:rPr>
          <w:iCs/>
          <w:lang w:val="pl-PL"/>
        </w:rPr>
        <w:lastRenderedPageBreak/>
        <w:t xml:space="preserve">Wydatki kwalifikowalne </w:t>
      </w:r>
      <w:r w:rsidR="00B60180" w:rsidRPr="00767038">
        <w:rPr>
          <w:iCs/>
          <w:lang w:val="pl-PL"/>
        </w:rPr>
        <w:t xml:space="preserve">w ramach </w:t>
      </w:r>
      <w:r w:rsidRPr="00767038">
        <w:rPr>
          <w:iCs/>
          <w:lang w:val="pl-PL"/>
        </w:rPr>
        <w:t xml:space="preserve">programu (art. </w:t>
      </w:r>
      <w:r w:rsidR="00DA7821" w:rsidRPr="00767038">
        <w:rPr>
          <w:iCs/>
          <w:lang w:val="pl-PL"/>
        </w:rPr>
        <w:t>8.1, 8.10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DA7821" w:rsidRPr="00767038">
        <w:rPr>
          <w:iCs/>
          <w:lang w:val="pl-PL"/>
        </w:rPr>
        <w:t>)</w:t>
      </w:r>
      <w:bookmarkEnd w:id="44"/>
      <w:bookmarkEnd w:id="45"/>
    </w:p>
    <w:p w:rsidR="00960982" w:rsidRPr="00767038" w:rsidRDefault="00343C53" w:rsidP="00B85001">
      <w:pPr>
        <w:rPr>
          <w:lang w:val="pl-PL"/>
        </w:rPr>
      </w:pPr>
      <w:r w:rsidRPr="00767038">
        <w:rPr>
          <w:lang w:val="pl-PL"/>
        </w:rPr>
        <w:t xml:space="preserve">Wydatki kwalifikowalne programu mogą obejmować koszty zarządzania </w:t>
      </w:r>
      <w:r w:rsidR="00315981" w:rsidRPr="00767038">
        <w:rPr>
          <w:lang w:val="pl-PL"/>
        </w:rPr>
        <w:t>Operator</w:t>
      </w:r>
      <w:r w:rsidR="00B60180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i płatności </w:t>
      </w:r>
      <w:r w:rsidR="00B60180" w:rsidRPr="00767038">
        <w:rPr>
          <w:lang w:val="pl-PL"/>
        </w:rPr>
        <w:t>dla</w:t>
      </w:r>
      <w:r w:rsidRPr="00767038">
        <w:rPr>
          <w:lang w:val="pl-PL"/>
        </w:rPr>
        <w:t xml:space="preserve"> projekt</w:t>
      </w:r>
      <w:r w:rsidR="00B60180" w:rsidRPr="00767038">
        <w:rPr>
          <w:lang w:val="pl-PL"/>
        </w:rPr>
        <w:t>ów</w:t>
      </w:r>
      <w:r w:rsidRPr="00767038">
        <w:rPr>
          <w:lang w:val="pl-PL"/>
        </w:rPr>
        <w:t xml:space="preserve"> w ramach programu</w:t>
      </w:r>
      <w:r w:rsidR="00960982" w:rsidRPr="00767038">
        <w:rPr>
          <w:lang w:val="pl-PL"/>
        </w:rPr>
        <w:t xml:space="preserve">. </w:t>
      </w:r>
    </w:p>
    <w:p w:rsidR="00960982" w:rsidRPr="00767038" w:rsidRDefault="00343C53" w:rsidP="00E264C0">
      <w:pPr>
        <w:spacing w:after="0"/>
        <w:rPr>
          <w:lang w:val="pl-PL"/>
        </w:rPr>
      </w:pPr>
      <w:r w:rsidRPr="00767038">
        <w:rPr>
          <w:lang w:val="pl-PL"/>
        </w:rPr>
        <w:t>Kwalifikowalność kosztów jest zależna od zatwierdzenia programu przez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i podlega limitom określonym w </w:t>
      </w:r>
      <w:r w:rsidR="00B60180" w:rsidRPr="00767038">
        <w:rPr>
          <w:lang w:val="pl-PL"/>
        </w:rPr>
        <w:t>Umowie w sprawie programu</w:t>
      </w:r>
      <w:r w:rsidR="00960982" w:rsidRPr="00767038">
        <w:rPr>
          <w:lang w:val="pl-PL"/>
        </w:rPr>
        <w:t xml:space="preserve">. </w:t>
      </w:r>
      <w:r w:rsidR="00B60180" w:rsidRPr="00767038">
        <w:rPr>
          <w:lang w:val="pl-PL"/>
        </w:rPr>
        <w:t xml:space="preserve">Pierwszym dniem </w:t>
      </w:r>
      <w:r w:rsidRPr="00767038">
        <w:rPr>
          <w:lang w:val="pl-PL"/>
        </w:rPr>
        <w:t xml:space="preserve">kwalifikowalności wydatków </w:t>
      </w:r>
      <w:r w:rsidR="00B60180" w:rsidRPr="00767038">
        <w:rPr>
          <w:lang w:val="pl-PL"/>
        </w:rPr>
        <w:t xml:space="preserve">Operatora Programu </w:t>
      </w:r>
      <w:r w:rsidRPr="00767038">
        <w:rPr>
          <w:lang w:val="pl-PL"/>
        </w:rPr>
        <w:t>jest</w:t>
      </w:r>
      <w:r w:rsidR="00B60180" w:rsidRPr="00767038">
        <w:rPr>
          <w:lang w:val="pl-PL"/>
        </w:rPr>
        <w:t xml:space="preserve"> data </w:t>
      </w:r>
      <w:r w:rsidRPr="00767038">
        <w:rPr>
          <w:lang w:val="pl-PL"/>
        </w:rPr>
        <w:t>wyznacz</w:t>
      </w:r>
      <w:r w:rsidR="00B60180" w:rsidRPr="00767038">
        <w:rPr>
          <w:lang w:val="pl-PL"/>
        </w:rPr>
        <w:t>enia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B60180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B60180" w:rsidRPr="00767038">
        <w:rPr>
          <w:lang w:val="pl-PL"/>
        </w:rPr>
        <w:t xml:space="preserve"> przez Krajowy Punkt Kontaktowy</w:t>
      </w:r>
      <w:r w:rsidR="00960982" w:rsidRPr="00767038">
        <w:rPr>
          <w:lang w:val="pl-PL"/>
        </w:rPr>
        <w:t xml:space="preserve"> (</w:t>
      </w:r>
      <w:r w:rsidRPr="00767038">
        <w:rPr>
          <w:lang w:val="pl-PL"/>
        </w:rPr>
        <w:t>a</w:t>
      </w:r>
      <w:r w:rsidR="00960982" w:rsidRPr="00767038">
        <w:rPr>
          <w:lang w:val="pl-PL"/>
        </w:rPr>
        <w:t>rt. 5.2.3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960982" w:rsidRPr="00767038">
        <w:rPr>
          <w:lang w:val="pl-PL"/>
        </w:rPr>
        <w:t xml:space="preserve">), </w:t>
      </w:r>
      <w:r w:rsidRPr="00767038">
        <w:rPr>
          <w:lang w:val="pl-PL"/>
        </w:rPr>
        <w:t xml:space="preserve">końcową datą </w:t>
      </w:r>
      <w:r w:rsidR="00B60180" w:rsidRPr="00767038">
        <w:rPr>
          <w:lang w:val="pl-PL"/>
        </w:rPr>
        <w:t xml:space="preserve">kwalifikowalności </w:t>
      </w:r>
      <w:r w:rsidRPr="00767038">
        <w:rPr>
          <w:lang w:val="pl-PL"/>
        </w:rPr>
        <w:t>jest dzień 31 grudnia 202</w:t>
      </w:r>
      <w:r w:rsidR="00911CF0">
        <w:rPr>
          <w:lang w:val="pl-PL"/>
        </w:rPr>
        <w:t>4</w:t>
      </w:r>
      <w:r w:rsidRPr="00767038">
        <w:rPr>
          <w:lang w:val="pl-PL"/>
        </w:rPr>
        <w:t xml:space="preserve"> r., </w:t>
      </w:r>
      <w:r w:rsidR="00A35E94" w:rsidRPr="00767038">
        <w:rPr>
          <w:lang w:val="pl-PL"/>
        </w:rPr>
        <w:t>chyba</w:t>
      </w:r>
      <w:r w:rsidR="00B60180" w:rsidRPr="00767038">
        <w:rPr>
          <w:lang w:val="pl-PL"/>
        </w:rPr>
        <w:t xml:space="preserve"> że w Umowie w sprawie programu określona została </w:t>
      </w:r>
      <w:r w:rsidRPr="00767038">
        <w:rPr>
          <w:lang w:val="pl-PL"/>
        </w:rPr>
        <w:t>wcześniejsz</w:t>
      </w:r>
      <w:r w:rsidR="00B60180" w:rsidRPr="00767038">
        <w:rPr>
          <w:lang w:val="pl-PL"/>
        </w:rPr>
        <w:t>a</w:t>
      </w:r>
      <w:r w:rsidRPr="00767038">
        <w:rPr>
          <w:lang w:val="pl-PL"/>
        </w:rPr>
        <w:t xml:space="preserve"> dat</w:t>
      </w:r>
      <w:r w:rsidR="00B60180" w:rsidRPr="00767038">
        <w:rPr>
          <w:lang w:val="pl-PL"/>
        </w:rPr>
        <w:t>a</w:t>
      </w:r>
      <w:r w:rsidR="00960982" w:rsidRPr="00767038">
        <w:rPr>
          <w:lang w:val="pl-PL"/>
        </w:rPr>
        <w:t>.</w:t>
      </w:r>
      <w:r w:rsidR="00FD085A" w:rsidRPr="00767038">
        <w:rPr>
          <w:lang w:val="pl-PL"/>
        </w:rPr>
        <w:t xml:space="preserve"> </w:t>
      </w:r>
      <w:r w:rsidRPr="00767038">
        <w:rPr>
          <w:lang w:val="pl-PL"/>
        </w:rPr>
        <w:t>Wydatki kwalifikowalne programu raportuje się przy wykorzystaniu FRO</w:t>
      </w:r>
      <w:r w:rsidR="00960982" w:rsidRPr="00767038">
        <w:rPr>
          <w:lang w:val="pl-PL"/>
        </w:rPr>
        <w:t>.</w:t>
      </w:r>
    </w:p>
    <w:p w:rsidR="00960982" w:rsidRPr="00767038" w:rsidRDefault="0032486C" w:rsidP="00376576">
      <w:pPr>
        <w:rPr>
          <w:lang w:val="pl-PL"/>
        </w:rPr>
      </w:pPr>
      <w:r w:rsidRPr="00767038">
        <w:rPr>
          <w:lang w:val="pl-PL"/>
        </w:rPr>
        <w:t xml:space="preserve">Jeżeli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</w:t>
      </w:r>
      <w:r w:rsidR="00B60180" w:rsidRPr="00767038">
        <w:rPr>
          <w:lang w:val="pl-PL"/>
        </w:rPr>
        <w:t>deleguje</w:t>
      </w:r>
      <w:r w:rsidRPr="00767038">
        <w:rPr>
          <w:lang w:val="pl-PL"/>
        </w:rPr>
        <w:t xml:space="preserve"> określone zadania innym </w:t>
      </w:r>
      <w:r w:rsidR="00B60180" w:rsidRPr="00767038">
        <w:rPr>
          <w:lang w:val="pl-PL"/>
        </w:rPr>
        <w:t>instytucjom</w:t>
      </w:r>
      <w:r w:rsidRPr="00767038">
        <w:rPr>
          <w:lang w:val="pl-PL"/>
        </w:rPr>
        <w:t xml:space="preserve"> lub w oparciu o </w:t>
      </w:r>
      <w:proofErr w:type="spellStart"/>
      <w:r w:rsidR="00B60180"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 zadania zostaną rozdzielone między różne </w:t>
      </w:r>
      <w:r w:rsidR="00B60180" w:rsidRPr="00767038">
        <w:rPr>
          <w:lang w:val="pl-PL"/>
        </w:rPr>
        <w:t>instytucje</w:t>
      </w:r>
      <w:r w:rsidRPr="00767038">
        <w:rPr>
          <w:lang w:val="pl-PL"/>
        </w:rPr>
        <w:t xml:space="preserve">, koszty </w:t>
      </w:r>
      <w:r w:rsidR="00B60180" w:rsidRPr="00767038">
        <w:rPr>
          <w:lang w:val="pl-PL"/>
        </w:rPr>
        <w:t xml:space="preserve">innych </w:t>
      </w:r>
      <w:r w:rsidR="00A35E94" w:rsidRPr="00767038">
        <w:rPr>
          <w:lang w:val="pl-PL"/>
        </w:rPr>
        <w:t>instytucji można</w:t>
      </w:r>
      <w:r w:rsidRPr="00767038">
        <w:rPr>
          <w:lang w:val="pl-PL"/>
        </w:rPr>
        <w:t xml:space="preserve"> pokrywać tak długo, jak długo będą one </w:t>
      </w:r>
      <w:r w:rsidR="00911CF0">
        <w:rPr>
          <w:lang w:val="pl-PL"/>
        </w:rPr>
        <w:t>zaliczać</w:t>
      </w:r>
      <w:r w:rsidRPr="00767038">
        <w:rPr>
          <w:lang w:val="pl-PL"/>
        </w:rPr>
        <w:t xml:space="preserve"> się do kategorii kwalifikowalnych</w:t>
      </w:r>
      <w:r w:rsidR="00960982" w:rsidRPr="00767038">
        <w:rPr>
          <w:lang w:val="pl-PL"/>
        </w:rPr>
        <w:t xml:space="preserve">. </w:t>
      </w:r>
    </w:p>
    <w:p w:rsidR="007C79FB" w:rsidRPr="00767038" w:rsidRDefault="0032486C" w:rsidP="00C27B08">
      <w:pPr>
        <w:pStyle w:val="Nagwek3"/>
        <w:rPr>
          <w:lang w:val="pl-PL"/>
        </w:rPr>
      </w:pPr>
      <w:bookmarkStart w:id="46" w:name="_Ref465347593"/>
      <w:r w:rsidRPr="00767038">
        <w:rPr>
          <w:lang w:val="pl-PL"/>
        </w:rPr>
        <w:t xml:space="preserve">Koszty zarządzania </w:t>
      </w:r>
      <w:bookmarkEnd w:id="46"/>
      <w:r w:rsidR="00315981" w:rsidRPr="00767038">
        <w:rPr>
          <w:lang w:val="pl-PL"/>
        </w:rPr>
        <w:t>Operator</w:t>
      </w:r>
      <w:r w:rsidR="00B60180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</w:p>
    <w:p w:rsidR="00960982" w:rsidRPr="00767038" w:rsidRDefault="0032486C" w:rsidP="00376576">
      <w:pPr>
        <w:rPr>
          <w:lang w:val="pl-PL"/>
        </w:rPr>
      </w:pPr>
      <w:r w:rsidRPr="00767038">
        <w:rPr>
          <w:lang w:val="pl-PL"/>
        </w:rPr>
        <w:t xml:space="preserve">Następujące kategorie wydatków </w:t>
      </w:r>
      <w:r w:rsidR="00B60180" w:rsidRPr="00767038">
        <w:rPr>
          <w:lang w:val="pl-PL"/>
        </w:rPr>
        <w:t xml:space="preserve">są </w:t>
      </w:r>
      <w:r w:rsidRPr="00767038">
        <w:rPr>
          <w:lang w:val="pl-PL"/>
        </w:rPr>
        <w:t>kwalifik</w:t>
      </w:r>
      <w:r w:rsidR="00B60180" w:rsidRPr="00767038">
        <w:rPr>
          <w:lang w:val="pl-PL"/>
        </w:rPr>
        <w:t>owalne</w:t>
      </w:r>
      <w:r w:rsidRPr="00767038">
        <w:rPr>
          <w:lang w:val="pl-PL"/>
        </w:rPr>
        <w:t xml:space="preserve"> jako koszty zarządzania, </w:t>
      </w:r>
      <w:r w:rsidR="00B60180" w:rsidRPr="00767038">
        <w:rPr>
          <w:lang w:val="pl-PL"/>
        </w:rPr>
        <w:t>pod warunkiem, że</w:t>
      </w:r>
      <w:r w:rsidRPr="00767038">
        <w:rPr>
          <w:lang w:val="pl-PL"/>
        </w:rPr>
        <w:t xml:space="preserve"> wydatki takie są proporcjonalne, niezbędne i klasyfikują się do pozycji budżetowej kosztów zarządzania, </w:t>
      </w:r>
      <w:r w:rsidR="00B60180" w:rsidRPr="00767038">
        <w:rPr>
          <w:lang w:val="pl-PL"/>
        </w:rPr>
        <w:t>określonej</w:t>
      </w:r>
      <w:r w:rsidRPr="00767038">
        <w:rPr>
          <w:lang w:val="pl-PL"/>
        </w:rPr>
        <w:t xml:space="preserve"> w</w:t>
      </w:r>
      <w:r w:rsidR="00B60180" w:rsidRPr="00767038">
        <w:rPr>
          <w:lang w:val="pl-PL"/>
        </w:rPr>
        <w:t xml:space="preserve"> Umowie w sprawie programu</w:t>
      </w:r>
      <w:r w:rsidR="00960982" w:rsidRPr="00767038">
        <w:rPr>
          <w:lang w:val="pl-PL"/>
        </w:rPr>
        <w:t xml:space="preserve">: </w:t>
      </w:r>
    </w:p>
    <w:p w:rsidR="00557DF3" w:rsidRPr="00767038" w:rsidRDefault="00557DF3" w:rsidP="00557DF3">
      <w:pPr>
        <w:rPr>
          <w:lang w:val="pl-PL"/>
        </w:rPr>
      </w:pPr>
      <w:r w:rsidRPr="00767038">
        <w:rPr>
          <w:lang w:val="pl-PL"/>
        </w:rPr>
        <w:t xml:space="preserve">1. </w:t>
      </w:r>
      <w:r w:rsidR="0032486C" w:rsidRPr="00767038">
        <w:rPr>
          <w:lang w:val="pl-PL"/>
        </w:rPr>
        <w:t xml:space="preserve">wydatki bezpośrednio związane z przygotowaniem programu, w tym opracowanie projektu programu, </w:t>
      </w:r>
      <w:r w:rsidR="00A35E94" w:rsidRPr="00767038">
        <w:rPr>
          <w:lang w:val="pl-PL"/>
        </w:rPr>
        <w:t>wskaźników oraz</w:t>
      </w:r>
      <w:r w:rsidR="0032486C" w:rsidRPr="00767038">
        <w:rPr>
          <w:lang w:val="pl-PL"/>
        </w:rPr>
        <w:t xml:space="preserve"> konsultacj</w:t>
      </w:r>
      <w:r w:rsidR="00C15038" w:rsidRPr="00767038">
        <w:rPr>
          <w:lang w:val="pl-PL"/>
        </w:rPr>
        <w:t>e</w:t>
      </w:r>
      <w:r w:rsidR="0032486C" w:rsidRPr="00767038">
        <w:rPr>
          <w:lang w:val="pl-PL"/>
        </w:rPr>
        <w:t xml:space="preserve"> z </w:t>
      </w:r>
      <w:r w:rsidR="00C15038" w:rsidRPr="00767038">
        <w:rPr>
          <w:lang w:val="pl-PL"/>
        </w:rPr>
        <w:t>zainteresowanymi stronami</w:t>
      </w:r>
      <w:r w:rsidRPr="00767038">
        <w:rPr>
          <w:lang w:val="pl-PL"/>
        </w:rPr>
        <w:t xml:space="preserve">; </w:t>
      </w:r>
    </w:p>
    <w:p w:rsidR="00557DF3" w:rsidRPr="00767038" w:rsidRDefault="00FD085A" w:rsidP="00557DF3">
      <w:pPr>
        <w:rPr>
          <w:lang w:val="pl-PL"/>
        </w:rPr>
      </w:pPr>
      <w:r w:rsidRPr="00767038">
        <w:rPr>
          <w:lang w:val="pl-PL"/>
        </w:rPr>
        <w:t xml:space="preserve">2. </w:t>
      </w:r>
      <w:r w:rsidR="0032486C" w:rsidRPr="00767038">
        <w:rPr>
          <w:lang w:val="pl-PL"/>
        </w:rPr>
        <w:t xml:space="preserve">przygotowanie </w:t>
      </w:r>
      <w:r w:rsidR="00C15038" w:rsidRPr="00767038">
        <w:rPr>
          <w:lang w:val="pl-PL"/>
        </w:rPr>
        <w:t>wdrażania</w:t>
      </w:r>
      <w:r w:rsidR="0032486C" w:rsidRPr="00767038">
        <w:rPr>
          <w:lang w:val="pl-PL"/>
        </w:rPr>
        <w:t xml:space="preserve"> programu, w tym opracowanie procedur wyboru projektów </w:t>
      </w:r>
      <w:r w:rsidR="00C15038" w:rsidRPr="00767038">
        <w:rPr>
          <w:lang w:val="pl-PL"/>
        </w:rPr>
        <w:t>oraz</w:t>
      </w:r>
      <w:r w:rsidR="0032486C" w:rsidRPr="00767038">
        <w:rPr>
          <w:lang w:val="pl-PL"/>
        </w:rPr>
        <w:t xml:space="preserve"> przepływów finansowych</w:t>
      </w:r>
      <w:r w:rsidR="00557DF3" w:rsidRPr="00767038">
        <w:rPr>
          <w:lang w:val="pl-PL"/>
        </w:rPr>
        <w:t xml:space="preserve">; </w:t>
      </w:r>
    </w:p>
    <w:p w:rsidR="00557DF3" w:rsidRPr="00767038" w:rsidRDefault="00FD085A" w:rsidP="00FD085A">
      <w:pPr>
        <w:tabs>
          <w:tab w:val="left" w:pos="360"/>
        </w:tabs>
        <w:rPr>
          <w:lang w:val="pl-PL"/>
        </w:rPr>
      </w:pPr>
      <w:r w:rsidRPr="00767038">
        <w:rPr>
          <w:lang w:val="pl-PL"/>
        </w:rPr>
        <w:t xml:space="preserve">3. </w:t>
      </w:r>
      <w:r w:rsidR="00C15038" w:rsidRPr="00767038">
        <w:rPr>
          <w:lang w:val="pl-PL"/>
        </w:rPr>
        <w:t>wspieranie</w:t>
      </w:r>
      <w:r w:rsidR="0032486C" w:rsidRPr="00767038">
        <w:rPr>
          <w:lang w:val="pl-PL"/>
        </w:rPr>
        <w:t xml:space="preserve"> potencjalnych wnioskodawców i </w:t>
      </w:r>
      <w:r w:rsidR="00C15038" w:rsidRPr="00767038">
        <w:rPr>
          <w:lang w:val="pl-PL"/>
        </w:rPr>
        <w:t>beneficjentów</w:t>
      </w:r>
      <w:r w:rsidR="0032486C" w:rsidRPr="00767038">
        <w:rPr>
          <w:lang w:val="pl-PL"/>
        </w:rPr>
        <w:t xml:space="preserve"> w </w:t>
      </w:r>
      <w:r w:rsidR="00C15038" w:rsidRPr="00767038">
        <w:rPr>
          <w:lang w:val="pl-PL"/>
        </w:rPr>
        <w:t>zapewnieniu zgodności z wymogami</w:t>
      </w:r>
      <w:r w:rsidR="0032486C" w:rsidRPr="00767038">
        <w:rPr>
          <w:lang w:val="pl-PL"/>
        </w:rPr>
        <w:t xml:space="preserve"> określony</w:t>
      </w:r>
      <w:r w:rsidR="00C15038" w:rsidRPr="00767038">
        <w:rPr>
          <w:lang w:val="pl-PL"/>
        </w:rPr>
        <w:t>mi</w:t>
      </w:r>
      <w:r w:rsidR="0032486C" w:rsidRPr="00767038">
        <w:rPr>
          <w:lang w:val="pl-PL"/>
        </w:rPr>
        <w:t xml:space="preserve"> przez </w:t>
      </w:r>
      <w:r w:rsidR="00315981" w:rsidRPr="00767038">
        <w:rPr>
          <w:lang w:val="pl-PL"/>
        </w:rPr>
        <w:t>Operator</w:t>
      </w:r>
      <w:r w:rsidR="00C15038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32486C" w:rsidRPr="00767038">
        <w:rPr>
          <w:lang w:val="pl-PL"/>
        </w:rPr>
        <w:t xml:space="preserve"> w odniesieniu do wniosków </w:t>
      </w:r>
      <w:r w:rsidR="00C15038" w:rsidRPr="00767038">
        <w:rPr>
          <w:lang w:val="pl-PL"/>
        </w:rPr>
        <w:t xml:space="preserve">aplikacyjnych dla </w:t>
      </w:r>
      <w:r w:rsidR="0032486C" w:rsidRPr="00767038">
        <w:rPr>
          <w:lang w:val="pl-PL"/>
        </w:rPr>
        <w:t>projekt</w:t>
      </w:r>
      <w:r w:rsidR="00C15038" w:rsidRPr="00767038">
        <w:rPr>
          <w:lang w:val="pl-PL"/>
        </w:rPr>
        <w:t>ów</w:t>
      </w:r>
      <w:r w:rsidR="0032486C" w:rsidRPr="00767038">
        <w:rPr>
          <w:lang w:val="pl-PL"/>
        </w:rPr>
        <w:t xml:space="preserve"> i/lub </w:t>
      </w:r>
      <w:r w:rsidR="00C15038" w:rsidRPr="00767038">
        <w:rPr>
          <w:lang w:val="pl-PL"/>
        </w:rPr>
        <w:t>wdrażania</w:t>
      </w:r>
      <w:r w:rsidR="0032486C" w:rsidRPr="00767038">
        <w:rPr>
          <w:lang w:val="pl-PL"/>
        </w:rPr>
        <w:t xml:space="preserve"> projektów</w:t>
      </w:r>
      <w:r w:rsidR="00557DF3" w:rsidRPr="00767038">
        <w:rPr>
          <w:lang w:val="pl-PL"/>
        </w:rPr>
        <w:t xml:space="preserve">; </w:t>
      </w:r>
    </w:p>
    <w:p w:rsidR="00557DF3" w:rsidRPr="00767038" w:rsidRDefault="00557DF3" w:rsidP="00557DF3">
      <w:pPr>
        <w:rPr>
          <w:lang w:val="pl-PL"/>
        </w:rPr>
      </w:pPr>
      <w:r w:rsidRPr="00767038">
        <w:rPr>
          <w:lang w:val="pl-PL"/>
        </w:rPr>
        <w:t xml:space="preserve">4. </w:t>
      </w:r>
      <w:r w:rsidR="0032486C" w:rsidRPr="00767038">
        <w:rPr>
          <w:lang w:val="pl-PL"/>
        </w:rPr>
        <w:t>wybór projektów, w tym koszty ekspertów</w:t>
      </w:r>
      <w:r w:rsidR="00C15038" w:rsidRPr="00767038">
        <w:rPr>
          <w:lang w:val="pl-PL"/>
        </w:rPr>
        <w:t>, spotkań</w:t>
      </w:r>
      <w:r w:rsidR="0032486C" w:rsidRPr="00767038">
        <w:rPr>
          <w:lang w:val="pl-PL"/>
        </w:rPr>
        <w:t xml:space="preserve"> i </w:t>
      </w:r>
      <w:r w:rsidR="00C15038" w:rsidRPr="00767038">
        <w:rPr>
          <w:lang w:val="pl-PL"/>
        </w:rPr>
        <w:t>procedury</w:t>
      </w:r>
      <w:r w:rsidR="0032486C" w:rsidRPr="00767038">
        <w:rPr>
          <w:lang w:val="pl-PL"/>
        </w:rPr>
        <w:t xml:space="preserve"> odwoła</w:t>
      </w:r>
      <w:r w:rsidR="00C15038" w:rsidRPr="00767038">
        <w:rPr>
          <w:lang w:val="pl-PL"/>
        </w:rPr>
        <w:t>wczej</w:t>
      </w:r>
      <w:r w:rsidRPr="00767038">
        <w:rPr>
          <w:lang w:val="pl-PL"/>
        </w:rPr>
        <w:t xml:space="preserve">; </w:t>
      </w:r>
    </w:p>
    <w:p w:rsidR="00557DF3" w:rsidRPr="00767038" w:rsidRDefault="00557DF3" w:rsidP="00557DF3">
      <w:pPr>
        <w:rPr>
          <w:lang w:val="pl-PL"/>
        </w:rPr>
      </w:pPr>
      <w:r w:rsidRPr="00767038">
        <w:rPr>
          <w:lang w:val="pl-PL"/>
        </w:rPr>
        <w:t xml:space="preserve">5. </w:t>
      </w:r>
      <w:r w:rsidR="0032486C" w:rsidRPr="00767038">
        <w:rPr>
          <w:lang w:val="pl-PL"/>
        </w:rPr>
        <w:t>weryfikacja pon</w:t>
      </w:r>
      <w:r w:rsidR="00C15038" w:rsidRPr="00767038">
        <w:rPr>
          <w:lang w:val="pl-PL"/>
        </w:rPr>
        <w:t>iesionych</w:t>
      </w:r>
      <w:r w:rsidR="0032486C" w:rsidRPr="00767038">
        <w:rPr>
          <w:lang w:val="pl-PL"/>
        </w:rPr>
        <w:t xml:space="preserve"> wydatków, zatwierdz</w:t>
      </w:r>
      <w:r w:rsidR="00C15038" w:rsidRPr="00767038">
        <w:rPr>
          <w:lang w:val="pl-PL"/>
        </w:rPr>
        <w:t>a</w:t>
      </w:r>
      <w:r w:rsidR="0032486C" w:rsidRPr="00767038">
        <w:rPr>
          <w:lang w:val="pl-PL"/>
        </w:rPr>
        <w:t>nia płatności</w:t>
      </w:r>
      <w:r w:rsidR="00C15038" w:rsidRPr="00767038">
        <w:rPr>
          <w:lang w:val="pl-PL"/>
        </w:rPr>
        <w:t xml:space="preserve">, </w:t>
      </w:r>
      <w:r w:rsidR="00A35E94" w:rsidRPr="00767038">
        <w:rPr>
          <w:lang w:val="pl-PL"/>
        </w:rPr>
        <w:t>przekazywanie</w:t>
      </w:r>
      <w:r w:rsidR="0032486C" w:rsidRPr="00767038">
        <w:rPr>
          <w:lang w:val="pl-PL"/>
        </w:rPr>
        <w:t xml:space="preserve"> płatności </w:t>
      </w:r>
      <w:r w:rsidR="00C15038" w:rsidRPr="00767038">
        <w:rPr>
          <w:lang w:val="pl-PL"/>
        </w:rPr>
        <w:t>na rzecz beneficjentów</w:t>
      </w:r>
      <w:r w:rsidRPr="00767038">
        <w:rPr>
          <w:lang w:val="pl-PL"/>
        </w:rPr>
        <w:t xml:space="preserve">; </w:t>
      </w:r>
    </w:p>
    <w:p w:rsidR="00557DF3" w:rsidRPr="00767038" w:rsidRDefault="00FD085A" w:rsidP="00557DF3">
      <w:pPr>
        <w:rPr>
          <w:lang w:val="pl-PL"/>
        </w:rPr>
      </w:pPr>
      <w:r w:rsidRPr="00767038">
        <w:rPr>
          <w:lang w:val="pl-PL"/>
        </w:rPr>
        <w:t xml:space="preserve">6. </w:t>
      </w:r>
      <w:r w:rsidR="0032486C" w:rsidRPr="00767038">
        <w:rPr>
          <w:lang w:val="pl-PL"/>
        </w:rPr>
        <w:t>m</w:t>
      </w:r>
      <w:r w:rsidR="00557DF3" w:rsidRPr="00767038">
        <w:rPr>
          <w:lang w:val="pl-PL"/>
        </w:rPr>
        <w:t>onitor</w:t>
      </w:r>
      <w:r w:rsidR="00C15038" w:rsidRPr="00767038">
        <w:rPr>
          <w:lang w:val="pl-PL"/>
        </w:rPr>
        <w:t>owanie</w:t>
      </w:r>
      <w:r w:rsidRPr="00767038">
        <w:rPr>
          <w:lang w:val="pl-PL"/>
        </w:rPr>
        <w:t xml:space="preserve"> </w:t>
      </w:r>
      <w:r w:rsidR="0032486C" w:rsidRPr="00767038">
        <w:rPr>
          <w:lang w:val="pl-PL"/>
        </w:rPr>
        <w:t>projektów i przeglądy</w:t>
      </w:r>
      <w:r w:rsidR="00557DF3" w:rsidRPr="00767038">
        <w:rPr>
          <w:lang w:val="pl-PL"/>
        </w:rPr>
        <w:t>;</w:t>
      </w:r>
    </w:p>
    <w:p w:rsidR="00557DF3" w:rsidRPr="00767038" w:rsidRDefault="00FD085A" w:rsidP="00557DF3">
      <w:pPr>
        <w:rPr>
          <w:lang w:val="pl-PL"/>
        </w:rPr>
      </w:pPr>
      <w:r w:rsidRPr="00767038">
        <w:rPr>
          <w:lang w:val="pl-PL"/>
        </w:rPr>
        <w:t xml:space="preserve">7. </w:t>
      </w:r>
      <w:r w:rsidR="0032486C" w:rsidRPr="00767038">
        <w:rPr>
          <w:lang w:val="pl-PL"/>
        </w:rPr>
        <w:t xml:space="preserve">audyty i </w:t>
      </w:r>
      <w:r w:rsidR="00C15038" w:rsidRPr="00767038">
        <w:rPr>
          <w:lang w:val="pl-PL"/>
        </w:rPr>
        <w:t>kontrole</w:t>
      </w:r>
      <w:r w:rsidR="0032486C" w:rsidRPr="00767038">
        <w:rPr>
          <w:lang w:val="pl-PL"/>
        </w:rPr>
        <w:t xml:space="preserve"> projektów </w:t>
      </w:r>
      <w:r w:rsidR="00C15038" w:rsidRPr="00767038">
        <w:rPr>
          <w:lang w:val="pl-PL"/>
        </w:rPr>
        <w:t>na</w:t>
      </w:r>
      <w:r w:rsidR="0032486C" w:rsidRPr="00767038">
        <w:rPr>
          <w:lang w:val="pl-PL"/>
        </w:rPr>
        <w:t xml:space="preserve"> miejscu realizacji</w:t>
      </w:r>
      <w:r w:rsidR="00557DF3" w:rsidRPr="00767038">
        <w:rPr>
          <w:lang w:val="pl-PL"/>
        </w:rPr>
        <w:t xml:space="preserve">; </w:t>
      </w:r>
    </w:p>
    <w:p w:rsidR="00557DF3" w:rsidRPr="00767038" w:rsidRDefault="00FD085A" w:rsidP="00557DF3">
      <w:pPr>
        <w:rPr>
          <w:lang w:val="pl-PL"/>
        </w:rPr>
      </w:pPr>
      <w:r w:rsidRPr="00767038">
        <w:rPr>
          <w:lang w:val="pl-PL"/>
        </w:rPr>
        <w:t xml:space="preserve">8. </w:t>
      </w:r>
      <w:r w:rsidR="0032486C" w:rsidRPr="00767038">
        <w:rPr>
          <w:lang w:val="pl-PL"/>
        </w:rPr>
        <w:t>działania promocyjn</w:t>
      </w:r>
      <w:r w:rsidR="00C15038" w:rsidRPr="00767038">
        <w:rPr>
          <w:lang w:val="pl-PL"/>
        </w:rPr>
        <w:t xml:space="preserve">e i </w:t>
      </w:r>
      <w:r w:rsidR="0032486C" w:rsidRPr="00767038">
        <w:rPr>
          <w:lang w:val="pl-PL"/>
        </w:rPr>
        <w:t xml:space="preserve">informacyjne, w tym </w:t>
      </w:r>
      <w:r w:rsidR="00C15038" w:rsidRPr="00767038">
        <w:rPr>
          <w:lang w:val="pl-PL"/>
        </w:rPr>
        <w:t xml:space="preserve">ogłaszanie naborów wniosków </w:t>
      </w:r>
      <w:r w:rsidR="0032486C" w:rsidRPr="00767038">
        <w:rPr>
          <w:lang w:val="pl-PL"/>
        </w:rPr>
        <w:t xml:space="preserve">i działania informacyjne w okresie </w:t>
      </w:r>
      <w:r w:rsidR="00C15038" w:rsidRPr="00767038">
        <w:rPr>
          <w:lang w:val="pl-PL"/>
        </w:rPr>
        <w:t>naboru</w:t>
      </w:r>
      <w:r w:rsidR="0032486C" w:rsidRPr="00767038">
        <w:rPr>
          <w:lang w:val="pl-PL"/>
        </w:rPr>
        <w:t xml:space="preserve"> wniosków, </w:t>
      </w:r>
      <w:r w:rsidR="00C15038" w:rsidRPr="00767038">
        <w:rPr>
          <w:lang w:val="pl-PL"/>
        </w:rPr>
        <w:t>jak również spotkania</w:t>
      </w:r>
      <w:r w:rsidR="0032486C" w:rsidRPr="00767038">
        <w:rPr>
          <w:lang w:val="pl-PL"/>
        </w:rPr>
        <w:t xml:space="preserve"> informacyjne</w:t>
      </w:r>
      <w:r w:rsidR="00C15038" w:rsidRPr="00767038">
        <w:rPr>
          <w:lang w:val="pl-PL"/>
        </w:rPr>
        <w:t>, wymiana doświadczeń i ocena efektu</w:t>
      </w:r>
      <w:r w:rsidR="0032486C" w:rsidRPr="00767038">
        <w:rPr>
          <w:lang w:val="pl-PL"/>
        </w:rPr>
        <w:t xml:space="preserve"> programu</w:t>
      </w:r>
      <w:r w:rsidR="00356202" w:rsidRPr="00767038">
        <w:rPr>
          <w:lang w:val="pl-PL"/>
        </w:rPr>
        <w:t xml:space="preserve">; </w:t>
      </w:r>
    </w:p>
    <w:p w:rsidR="00557DF3" w:rsidRPr="00767038" w:rsidRDefault="00FD085A" w:rsidP="00557DF3">
      <w:pPr>
        <w:rPr>
          <w:lang w:val="pl-PL"/>
        </w:rPr>
      </w:pPr>
      <w:r w:rsidRPr="00767038">
        <w:rPr>
          <w:lang w:val="pl-PL"/>
        </w:rPr>
        <w:t xml:space="preserve">9. </w:t>
      </w:r>
      <w:r w:rsidR="0032486C" w:rsidRPr="00767038">
        <w:rPr>
          <w:lang w:val="pl-PL"/>
        </w:rPr>
        <w:t xml:space="preserve">wydatki związane z obowiązkami sprawozdawczymi </w:t>
      </w:r>
      <w:r w:rsidR="00C15038" w:rsidRPr="00767038">
        <w:rPr>
          <w:lang w:val="pl-PL"/>
        </w:rPr>
        <w:t xml:space="preserve">w stosunku </w:t>
      </w:r>
      <w:r w:rsidR="0032486C" w:rsidRPr="00767038">
        <w:rPr>
          <w:lang w:val="pl-PL"/>
        </w:rPr>
        <w:t>do KMF/</w:t>
      </w:r>
      <w:r w:rsidR="00C604D9" w:rsidRPr="00767038">
        <w:rPr>
          <w:lang w:val="pl-PL"/>
        </w:rPr>
        <w:t>NMSZ</w:t>
      </w:r>
      <w:r w:rsidR="0032486C" w:rsidRPr="00767038">
        <w:rPr>
          <w:lang w:val="pl-PL"/>
        </w:rPr>
        <w:t xml:space="preserve">, KPK, IC i/lub Instytucji ds. </w:t>
      </w:r>
      <w:r w:rsidR="00C15038" w:rsidRPr="00767038">
        <w:rPr>
          <w:lang w:val="pl-PL"/>
        </w:rPr>
        <w:t>n</w:t>
      </w:r>
      <w:r w:rsidR="0032486C" w:rsidRPr="00767038">
        <w:rPr>
          <w:lang w:val="pl-PL"/>
        </w:rPr>
        <w:t>ieprawidłowości</w:t>
      </w:r>
      <w:r w:rsidR="00557DF3" w:rsidRPr="00767038">
        <w:rPr>
          <w:lang w:val="pl-PL"/>
        </w:rPr>
        <w:t xml:space="preserve">; </w:t>
      </w:r>
    </w:p>
    <w:p w:rsidR="00557DF3" w:rsidRPr="00767038" w:rsidRDefault="00D936D7" w:rsidP="00557DF3">
      <w:pPr>
        <w:rPr>
          <w:lang w:val="pl-PL"/>
        </w:rPr>
      </w:pPr>
      <w:r w:rsidRPr="00767038">
        <w:rPr>
          <w:lang w:val="pl-PL"/>
        </w:rPr>
        <w:t>10.</w:t>
      </w:r>
      <w:r w:rsidR="00FD085A" w:rsidRPr="00767038">
        <w:rPr>
          <w:lang w:val="pl-PL"/>
        </w:rPr>
        <w:t xml:space="preserve"> </w:t>
      </w:r>
      <w:r w:rsidR="0032486C" w:rsidRPr="00767038">
        <w:rPr>
          <w:lang w:val="pl-PL"/>
        </w:rPr>
        <w:t xml:space="preserve">opłaty związane z </w:t>
      </w:r>
      <w:r w:rsidR="00C15038" w:rsidRPr="00767038">
        <w:rPr>
          <w:lang w:val="pl-PL"/>
        </w:rPr>
        <w:t xml:space="preserve">zakładaniem </w:t>
      </w:r>
      <w:r w:rsidR="0032486C" w:rsidRPr="00767038">
        <w:rPr>
          <w:lang w:val="pl-PL"/>
        </w:rPr>
        <w:t>i prowadzeniem rachunków bankowych</w:t>
      </w:r>
      <w:r w:rsidR="00C15038" w:rsidRPr="00767038">
        <w:rPr>
          <w:lang w:val="pl-PL"/>
        </w:rPr>
        <w:t xml:space="preserve"> wymaganych w </w:t>
      </w:r>
      <w:r w:rsidR="00A35E94" w:rsidRPr="00767038">
        <w:rPr>
          <w:lang w:val="pl-PL"/>
        </w:rPr>
        <w:t>ramach Regulacji</w:t>
      </w:r>
      <w:r w:rsidR="0032486C" w:rsidRPr="00767038">
        <w:rPr>
          <w:lang w:val="pl-PL"/>
        </w:rPr>
        <w:t xml:space="preserve"> lub</w:t>
      </w:r>
      <w:r w:rsidR="00C15038" w:rsidRPr="00767038">
        <w:rPr>
          <w:lang w:val="pl-PL"/>
        </w:rPr>
        <w:t xml:space="preserve"> Umowy w sprawie </w:t>
      </w:r>
      <w:r w:rsidR="00A35E94" w:rsidRPr="00767038">
        <w:rPr>
          <w:lang w:val="pl-PL"/>
        </w:rPr>
        <w:t xml:space="preserve">programu, </w:t>
      </w:r>
      <w:r w:rsidRPr="00767038">
        <w:rPr>
          <w:lang w:val="pl-PL"/>
        </w:rPr>
        <w:t>w tym koszty przelewów przychodzących</w:t>
      </w:r>
      <w:r w:rsidR="00C15038" w:rsidRPr="00767038">
        <w:rPr>
          <w:lang w:val="pl-PL"/>
        </w:rPr>
        <w:t xml:space="preserve"> i wychodzących</w:t>
      </w:r>
      <w:r w:rsidR="00557DF3" w:rsidRPr="00767038">
        <w:rPr>
          <w:lang w:val="pl-PL"/>
        </w:rPr>
        <w:t xml:space="preserve">; </w:t>
      </w:r>
    </w:p>
    <w:p w:rsidR="00557DF3" w:rsidRPr="00767038" w:rsidRDefault="00FD085A" w:rsidP="00557DF3">
      <w:pPr>
        <w:rPr>
          <w:lang w:val="pl-PL"/>
        </w:rPr>
      </w:pPr>
      <w:r w:rsidRPr="00767038">
        <w:rPr>
          <w:lang w:val="pl-PL"/>
        </w:rPr>
        <w:t xml:space="preserve">11. </w:t>
      </w:r>
      <w:r w:rsidR="009929E7" w:rsidRPr="00767038">
        <w:rPr>
          <w:lang w:val="pl-PL"/>
        </w:rPr>
        <w:t>koszty ogólne</w:t>
      </w:r>
      <w:r w:rsidR="00C15038" w:rsidRPr="00767038">
        <w:rPr>
          <w:lang w:val="pl-PL"/>
        </w:rPr>
        <w:t>,</w:t>
      </w:r>
      <w:r w:rsidR="00D936D7" w:rsidRPr="00767038">
        <w:rPr>
          <w:lang w:val="pl-PL"/>
        </w:rPr>
        <w:t xml:space="preserve"> </w:t>
      </w:r>
      <w:r w:rsidR="00C15038" w:rsidRPr="00767038">
        <w:rPr>
          <w:lang w:val="pl-PL"/>
        </w:rPr>
        <w:t>obliczane</w:t>
      </w:r>
      <w:r w:rsidR="00D936D7" w:rsidRPr="00767038">
        <w:rPr>
          <w:lang w:val="pl-PL"/>
        </w:rPr>
        <w:t xml:space="preserve"> zgodnie z art. </w:t>
      </w:r>
      <w:r w:rsidR="00557DF3" w:rsidRPr="00767038">
        <w:rPr>
          <w:lang w:val="pl-PL"/>
        </w:rPr>
        <w:t>8.5.1</w:t>
      </w:r>
      <w:r w:rsidR="00D936D7" w:rsidRPr="00767038">
        <w:rPr>
          <w:lang w:val="pl-PL"/>
        </w:rPr>
        <w:t xml:space="preserve"> lit.</w:t>
      </w:r>
      <w:r w:rsidR="00557DF3" w:rsidRPr="00767038">
        <w:rPr>
          <w:lang w:val="pl-PL"/>
        </w:rPr>
        <w:t xml:space="preserve"> (a), (b) </w:t>
      </w:r>
      <w:r w:rsidR="00D936D7" w:rsidRPr="00767038">
        <w:rPr>
          <w:lang w:val="pl-PL"/>
        </w:rPr>
        <w:t xml:space="preserve">lub </w:t>
      </w:r>
      <w:r w:rsidR="00557DF3" w:rsidRPr="00767038">
        <w:rPr>
          <w:lang w:val="pl-PL"/>
        </w:rPr>
        <w:t xml:space="preserve">(c) </w:t>
      </w:r>
      <w:r w:rsidR="005A62D3" w:rsidRPr="00767038">
        <w:rPr>
          <w:lang w:val="pl-PL"/>
        </w:rPr>
        <w:t>Regulacji</w:t>
      </w:r>
      <w:r w:rsidR="00C15038" w:rsidRPr="00767038">
        <w:rPr>
          <w:lang w:val="pl-PL"/>
        </w:rPr>
        <w:t xml:space="preserve">, z zastrzeżeniem wymogów określonych w </w:t>
      </w:r>
      <w:r w:rsidR="00D936D7" w:rsidRPr="00767038">
        <w:rPr>
          <w:lang w:val="pl-PL"/>
        </w:rPr>
        <w:t>art. 8.12 ust. 6</w:t>
      </w:r>
      <w:r w:rsidR="00C15038" w:rsidRPr="00767038">
        <w:rPr>
          <w:lang w:val="pl-PL"/>
        </w:rPr>
        <w:t xml:space="preserve"> Regulacji</w:t>
      </w:r>
      <w:r w:rsidR="00557DF3" w:rsidRPr="00767038">
        <w:rPr>
          <w:lang w:val="pl-PL"/>
        </w:rPr>
        <w:t xml:space="preserve">; </w:t>
      </w:r>
    </w:p>
    <w:p w:rsidR="00557DF3" w:rsidRPr="00767038" w:rsidRDefault="00D936D7" w:rsidP="00557DF3">
      <w:pPr>
        <w:rPr>
          <w:lang w:val="pl-PL"/>
        </w:rPr>
      </w:pPr>
      <w:r w:rsidRPr="00767038">
        <w:rPr>
          <w:lang w:val="pl-PL"/>
        </w:rPr>
        <w:t>12.</w:t>
      </w:r>
      <w:r w:rsidR="00FD085A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wydatki związane z </w:t>
      </w:r>
      <w:r w:rsidR="00C15038" w:rsidRPr="00767038">
        <w:rPr>
          <w:lang w:val="pl-PL"/>
        </w:rPr>
        <w:t xml:space="preserve">funkcjonowaniem </w:t>
      </w:r>
      <w:r w:rsidRPr="00767038">
        <w:rPr>
          <w:lang w:val="pl-PL"/>
        </w:rPr>
        <w:t xml:space="preserve">Komitetu Współpracy w </w:t>
      </w:r>
      <w:r w:rsidR="00C15038" w:rsidRPr="00767038">
        <w:rPr>
          <w:lang w:val="pl-PL"/>
        </w:rPr>
        <w:t xml:space="preserve">ramach </w:t>
      </w:r>
      <w:r w:rsidRPr="00767038">
        <w:rPr>
          <w:lang w:val="pl-PL"/>
        </w:rPr>
        <w:t xml:space="preserve">programów partnerskich z darczyńcami </w:t>
      </w:r>
      <w:r w:rsidR="00C15038" w:rsidRPr="00767038">
        <w:rPr>
          <w:lang w:val="pl-PL"/>
        </w:rPr>
        <w:t>oraz</w:t>
      </w:r>
      <w:r w:rsidRPr="00767038">
        <w:rPr>
          <w:lang w:val="pl-PL"/>
        </w:rPr>
        <w:t xml:space="preserve"> wydatki związane z </w:t>
      </w:r>
      <w:r w:rsidR="00C15038" w:rsidRPr="00767038">
        <w:rPr>
          <w:lang w:val="pl-PL"/>
        </w:rPr>
        <w:t xml:space="preserve">funkcjonowaniem </w:t>
      </w:r>
      <w:r w:rsidRPr="00767038">
        <w:rPr>
          <w:lang w:val="pl-PL"/>
        </w:rPr>
        <w:t xml:space="preserve">Komitetu </w:t>
      </w:r>
      <w:r w:rsidRPr="00767038">
        <w:rPr>
          <w:lang w:val="pl-PL"/>
        </w:rPr>
        <w:lastRenderedPageBreak/>
        <w:t>Program</w:t>
      </w:r>
      <w:r w:rsidR="00C15038" w:rsidRPr="00767038">
        <w:rPr>
          <w:lang w:val="pl-PL"/>
        </w:rPr>
        <w:t>u</w:t>
      </w:r>
      <w:r w:rsidRPr="00767038">
        <w:rPr>
          <w:lang w:val="pl-PL"/>
        </w:rPr>
        <w:t xml:space="preserve">, </w:t>
      </w:r>
      <w:r w:rsidR="00C15038" w:rsidRPr="00767038">
        <w:rPr>
          <w:lang w:val="pl-PL"/>
        </w:rPr>
        <w:t xml:space="preserve">gdy </w:t>
      </w:r>
      <w:r w:rsidRPr="00767038">
        <w:rPr>
          <w:lang w:val="pl-PL"/>
        </w:rPr>
        <w:t xml:space="preserve">jest to wymagane w programach </w:t>
      </w:r>
      <w:r w:rsidR="00C15038" w:rsidRPr="00767038">
        <w:rPr>
          <w:lang w:val="pl-PL"/>
        </w:rPr>
        <w:t>należących do</w:t>
      </w:r>
      <w:r w:rsidRPr="00767038">
        <w:rPr>
          <w:lang w:val="pl-PL"/>
        </w:rPr>
        <w:t xml:space="preserve"> obszar</w:t>
      </w:r>
      <w:r w:rsidR="00C15038" w:rsidRPr="00767038">
        <w:rPr>
          <w:lang w:val="pl-PL"/>
        </w:rPr>
        <w:t>u</w:t>
      </w:r>
      <w:r w:rsidRPr="00767038">
        <w:rPr>
          <w:lang w:val="pl-PL"/>
        </w:rPr>
        <w:t xml:space="preserve"> </w:t>
      </w:r>
      <w:r w:rsidR="00A35E94" w:rsidRPr="00767038">
        <w:rPr>
          <w:lang w:val="pl-PL"/>
        </w:rPr>
        <w:t>programu</w:t>
      </w:r>
      <w:r w:rsidRPr="00767038">
        <w:rPr>
          <w:lang w:val="pl-PL"/>
        </w:rPr>
        <w:t xml:space="preserve"> „Badania</w:t>
      </w:r>
      <w:r w:rsidR="00F60903" w:rsidRPr="00767038">
        <w:rPr>
          <w:lang w:val="pl-PL"/>
        </w:rPr>
        <w:t xml:space="preserve"> naukowe</w:t>
      </w:r>
      <w:r w:rsidRPr="00767038">
        <w:rPr>
          <w:lang w:val="pl-PL"/>
        </w:rPr>
        <w:t>”</w:t>
      </w:r>
      <w:r w:rsidR="00557DF3" w:rsidRPr="00767038">
        <w:rPr>
          <w:lang w:val="pl-PL"/>
        </w:rPr>
        <w:t xml:space="preserve">; </w:t>
      </w:r>
    </w:p>
    <w:p w:rsidR="00557DF3" w:rsidRPr="00767038" w:rsidRDefault="00D936D7" w:rsidP="00557DF3">
      <w:pPr>
        <w:rPr>
          <w:lang w:val="pl-PL"/>
        </w:rPr>
      </w:pPr>
      <w:r w:rsidRPr="00767038">
        <w:rPr>
          <w:lang w:val="pl-PL"/>
        </w:rPr>
        <w:t xml:space="preserve">13. wydatki związane </w:t>
      </w:r>
      <w:r w:rsidR="00F60903" w:rsidRPr="00767038">
        <w:rPr>
          <w:lang w:val="pl-PL"/>
        </w:rPr>
        <w:t xml:space="preserve">z zacieśnianiem współpracy </w:t>
      </w:r>
      <w:r w:rsidRPr="00767038">
        <w:rPr>
          <w:lang w:val="pl-PL"/>
        </w:rPr>
        <w:t>dwustronn</w:t>
      </w:r>
      <w:r w:rsidR="00F60903" w:rsidRPr="00767038">
        <w:rPr>
          <w:lang w:val="pl-PL"/>
        </w:rPr>
        <w:t>ej</w:t>
      </w:r>
      <w:r w:rsidRPr="00767038">
        <w:rPr>
          <w:lang w:val="pl-PL"/>
        </w:rPr>
        <w:t>; i</w:t>
      </w:r>
    </w:p>
    <w:p w:rsidR="00557DF3" w:rsidRPr="00767038" w:rsidRDefault="00557DF3" w:rsidP="00557DF3">
      <w:pPr>
        <w:rPr>
          <w:lang w:val="pl-PL"/>
        </w:rPr>
      </w:pPr>
      <w:r w:rsidRPr="00767038">
        <w:rPr>
          <w:lang w:val="pl-PL"/>
        </w:rPr>
        <w:t>14.</w:t>
      </w:r>
      <w:r w:rsidR="00FD085A" w:rsidRPr="00767038">
        <w:rPr>
          <w:lang w:val="pl-PL"/>
        </w:rPr>
        <w:t xml:space="preserve"> </w:t>
      </w:r>
      <w:r w:rsidR="00D936D7" w:rsidRPr="00767038">
        <w:rPr>
          <w:lang w:val="pl-PL"/>
        </w:rPr>
        <w:t xml:space="preserve">działania </w:t>
      </w:r>
      <w:r w:rsidR="00F60903" w:rsidRPr="00767038">
        <w:rPr>
          <w:lang w:val="pl-PL"/>
        </w:rPr>
        <w:t xml:space="preserve">mające na celu </w:t>
      </w:r>
      <w:r w:rsidR="00D936D7" w:rsidRPr="00767038">
        <w:rPr>
          <w:lang w:val="pl-PL"/>
        </w:rPr>
        <w:t>wzm</w:t>
      </w:r>
      <w:r w:rsidR="00F60903" w:rsidRPr="00767038">
        <w:rPr>
          <w:lang w:val="pl-PL"/>
        </w:rPr>
        <w:t>ocnienie</w:t>
      </w:r>
      <w:r w:rsidR="00D936D7" w:rsidRPr="00767038">
        <w:rPr>
          <w:lang w:val="pl-PL"/>
        </w:rPr>
        <w:t xml:space="preserve"> współpracy </w:t>
      </w:r>
      <w:r w:rsidR="00F60903" w:rsidRPr="00767038">
        <w:rPr>
          <w:lang w:val="pl-PL"/>
        </w:rPr>
        <w:t>oraz</w:t>
      </w:r>
      <w:r w:rsidR="00D936D7" w:rsidRPr="00767038">
        <w:rPr>
          <w:lang w:val="pl-PL"/>
        </w:rPr>
        <w:t xml:space="preserve"> wymian</w:t>
      </w:r>
      <w:r w:rsidR="00F60903" w:rsidRPr="00767038">
        <w:rPr>
          <w:lang w:val="pl-PL"/>
        </w:rPr>
        <w:t>ę</w:t>
      </w:r>
      <w:r w:rsidR="00D936D7" w:rsidRPr="00767038">
        <w:rPr>
          <w:lang w:val="pl-PL"/>
        </w:rPr>
        <w:t xml:space="preserve"> doświadczeń i najlepszych praktyk między </w:t>
      </w:r>
      <w:r w:rsidR="00315981" w:rsidRPr="00767038">
        <w:rPr>
          <w:lang w:val="pl-PL"/>
        </w:rPr>
        <w:t>Operator</w:t>
      </w:r>
      <w:r w:rsidR="00F60903" w:rsidRPr="00767038">
        <w:rPr>
          <w:lang w:val="pl-PL"/>
        </w:rPr>
        <w:t>ami</w:t>
      </w:r>
      <w:r w:rsidR="00315981" w:rsidRPr="00767038">
        <w:rPr>
          <w:lang w:val="pl-PL"/>
        </w:rPr>
        <w:t xml:space="preserve"> Program</w:t>
      </w:r>
      <w:r w:rsidR="00F60903" w:rsidRPr="00767038">
        <w:rPr>
          <w:lang w:val="pl-PL"/>
        </w:rPr>
        <w:t>ów</w:t>
      </w:r>
      <w:r w:rsidR="00D936D7" w:rsidRPr="00767038">
        <w:rPr>
          <w:lang w:val="pl-PL"/>
        </w:rPr>
        <w:t xml:space="preserve"> </w:t>
      </w:r>
      <w:r w:rsidR="00F60903" w:rsidRPr="00767038">
        <w:rPr>
          <w:lang w:val="pl-PL"/>
        </w:rPr>
        <w:t>a podobnymi podmiotami w Państwach-Beneficjentach</w:t>
      </w:r>
      <w:r w:rsidR="00D936D7" w:rsidRPr="00767038">
        <w:rPr>
          <w:lang w:val="pl-PL"/>
        </w:rPr>
        <w:t xml:space="preserve"> i</w:t>
      </w:r>
      <w:r w:rsidR="00036586">
        <w:rPr>
          <w:lang w:val="pl-PL"/>
        </w:rPr>
        <w:t>/lub</w:t>
      </w:r>
      <w:r w:rsidR="00D936D7" w:rsidRPr="00767038">
        <w:rPr>
          <w:lang w:val="pl-PL"/>
        </w:rPr>
        <w:t xml:space="preserve"> </w:t>
      </w:r>
      <w:r w:rsidR="00F60903" w:rsidRPr="00767038">
        <w:rPr>
          <w:lang w:val="pl-PL"/>
        </w:rPr>
        <w:t>P</w:t>
      </w:r>
      <w:r w:rsidR="00D936D7" w:rsidRPr="00767038">
        <w:rPr>
          <w:lang w:val="pl-PL"/>
        </w:rPr>
        <w:t>aństwach-</w:t>
      </w:r>
      <w:r w:rsidR="00F60903" w:rsidRPr="00767038">
        <w:rPr>
          <w:lang w:val="pl-PL"/>
        </w:rPr>
        <w:t>D</w:t>
      </w:r>
      <w:r w:rsidR="00D936D7" w:rsidRPr="00767038">
        <w:rPr>
          <w:lang w:val="pl-PL"/>
        </w:rPr>
        <w:t>arczyńcach i/lub organizacjami międzynarodowymi.</w:t>
      </w:r>
    </w:p>
    <w:p w:rsidR="00F60903" w:rsidRPr="00767038" w:rsidRDefault="00F60903" w:rsidP="00F60903">
      <w:pPr>
        <w:rPr>
          <w:lang w:val="pl-PL"/>
        </w:rPr>
      </w:pPr>
      <w:r w:rsidRPr="00767038">
        <w:rPr>
          <w:lang w:val="pl-PL"/>
        </w:rPr>
        <w:t xml:space="preserve">Regulacje nie określają szczegółowo, czy szkolenia i doskonalenie umiejętności zawodowych są zasadniczo kwalifikowalnymi wydatkami w ramach Mechanizmów Finansowych. Zakłada się ogólnie, że instytucje krajowe powinny już posiadać umiejętności i kompetencje niezbędne w celu wypełniania ich roli (np. umiejętności językowe i inne). </w:t>
      </w:r>
    </w:p>
    <w:p w:rsidR="00F60903" w:rsidRPr="00767038" w:rsidRDefault="00F60903" w:rsidP="00F60903">
      <w:pPr>
        <w:rPr>
          <w:lang w:val="pl-PL"/>
        </w:rPr>
      </w:pPr>
      <w:r w:rsidRPr="00767038">
        <w:rPr>
          <w:lang w:val="pl-PL"/>
        </w:rPr>
        <w:t>Jednakże, w uzasadnionych przypadkach koszty udziału pracowników w szkoleniach, które mają służyć doskonaleniu umiejętności wykonywania zadań, np. w zakresie monitoringu, zamówień publicznych, zarządzania finansami i/lub związanymi z przedmiotem programów, można uznać za kwalifikowalne.</w:t>
      </w:r>
    </w:p>
    <w:p w:rsidR="00F60903" w:rsidRPr="00767038" w:rsidRDefault="00F60903" w:rsidP="00F60903">
      <w:pPr>
        <w:rPr>
          <w:lang w:val="pl-PL"/>
        </w:rPr>
      </w:pPr>
      <w:r w:rsidRPr="00767038">
        <w:rPr>
          <w:lang w:val="pl-PL"/>
        </w:rPr>
        <w:t xml:space="preserve">Przed poświadczeniem tych kosztów IC powinna sprawdzić, czy udział pracowników w szkoleniach doskonalących ich umiejętności jest właściwie uzasadniony pod względem wykonywanych zadań, np. w zakresie monitoringu, zamówień publicznych, zarządzania finansami i/lub związanych z przedmiotem programów. </w:t>
      </w:r>
    </w:p>
    <w:p w:rsidR="00960982" w:rsidRPr="00767038" w:rsidRDefault="00D936D7" w:rsidP="00C27B08">
      <w:pPr>
        <w:pStyle w:val="Nagwek3"/>
        <w:rPr>
          <w:lang w:val="pl-PL"/>
        </w:rPr>
      </w:pPr>
      <w:r w:rsidRPr="00767038">
        <w:rPr>
          <w:lang w:val="pl-PL"/>
        </w:rPr>
        <w:t>Płatności na projekt</w:t>
      </w:r>
      <w:r w:rsidR="0096487C" w:rsidRPr="00767038">
        <w:rPr>
          <w:lang w:val="pl-PL"/>
        </w:rPr>
        <w:t>y</w:t>
      </w:r>
      <w:r w:rsidRPr="00767038">
        <w:rPr>
          <w:lang w:val="pl-PL"/>
        </w:rPr>
        <w:t xml:space="preserve"> w ramach programu</w:t>
      </w:r>
    </w:p>
    <w:p w:rsidR="00960982" w:rsidRDefault="00D936D7" w:rsidP="00376576">
      <w:pPr>
        <w:rPr>
          <w:lang w:val="pl-PL"/>
        </w:rPr>
      </w:pPr>
      <w:r w:rsidRPr="00767038">
        <w:rPr>
          <w:lang w:val="pl-PL"/>
        </w:rPr>
        <w:t xml:space="preserve">Płatności na projekty w ramach programu są wydatkami kwalifikowalnymi, jeżeli są zgodne z </w:t>
      </w:r>
      <w:r w:rsidR="005A62D3" w:rsidRPr="00767038">
        <w:rPr>
          <w:lang w:val="pl-PL"/>
        </w:rPr>
        <w:t>Regulacjami</w:t>
      </w:r>
      <w:r w:rsidRPr="00767038">
        <w:rPr>
          <w:lang w:val="pl-PL"/>
        </w:rPr>
        <w:t xml:space="preserve">, </w:t>
      </w:r>
      <w:r w:rsidR="00F60903" w:rsidRPr="00767038">
        <w:rPr>
          <w:lang w:val="pl-PL"/>
        </w:rPr>
        <w:t>Umową w sprawie programu</w:t>
      </w:r>
      <w:r w:rsidRPr="00767038">
        <w:rPr>
          <w:lang w:val="pl-PL"/>
        </w:rPr>
        <w:t xml:space="preserve"> i </w:t>
      </w:r>
      <w:r w:rsidR="00F60903" w:rsidRPr="00767038">
        <w:rPr>
          <w:lang w:val="pl-PL"/>
        </w:rPr>
        <w:t>U</w:t>
      </w:r>
      <w:r w:rsidRPr="00767038">
        <w:rPr>
          <w:lang w:val="pl-PL"/>
        </w:rPr>
        <w:t>mową w sprawie projektu</w:t>
      </w:r>
      <w:r w:rsidR="0053068F" w:rsidRPr="00767038">
        <w:rPr>
          <w:lang w:val="pl-PL"/>
        </w:rPr>
        <w:t>.</w:t>
      </w:r>
    </w:p>
    <w:p w:rsidR="008C2068" w:rsidRPr="00767038" w:rsidRDefault="008C2068" w:rsidP="00376576">
      <w:pPr>
        <w:rPr>
          <w:lang w:val="pl-PL"/>
        </w:rPr>
      </w:pPr>
    </w:p>
    <w:p w:rsidR="00DA7821" w:rsidRPr="00767038" w:rsidRDefault="00D936D7" w:rsidP="00A0039A">
      <w:pPr>
        <w:pStyle w:val="Nagwek2"/>
        <w:rPr>
          <w:lang w:val="pl-PL"/>
        </w:rPr>
      </w:pPr>
      <w:bookmarkStart w:id="47" w:name="_Ref461535811"/>
      <w:bookmarkStart w:id="48" w:name="_Toc505238508"/>
      <w:r w:rsidRPr="00767038">
        <w:rPr>
          <w:iCs/>
          <w:lang w:val="pl-PL"/>
        </w:rPr>
        <w:t xml:space="preserve">Bezpośrednie wydatki kwalifikowalne </w:t>
      </w:r>
      <w:r w:rsidR="00AC25C8" w:rsidRPr="00767038">
        <w:rPr>
          <w:iCs/>
          <w:lang w:val="pl-PL"/>
        </w:rPr>
        <w:t xml:space="preserve">w ramach </w:t>
      </w:r>
      <w:r w:rsidRPr="00767038">
        <w:rPr>
          <w:iCs/>
          <w:lang w:val="pl-PL"/>
        </w:rPr>
        <w:t>projektu</w:t>
      </w:r>
      <w:r w:rsidR="00DA7821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DA7821" w:rsidRPr="00767038">
        <w:rPr>
          <w:iCs/>
          <w:lang w:val="pl-PL"/>
        </w:rPr>
        <w:t>rt. 8.3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DA7821" w:rsidRPr="00767038">
        <w:rPr>
          <w:iCs/>
          <w:lang w:val="pl-PL"/>
        </w:rPr>
        <w:t>)</w:t>
      </w:r>
      <w:bookmarkEnd w:id="47"/>
      <w:bookmarkEnd w:id="48"/>
    </w:p>
    <w:p w:rsidR="00ED182F" w:rsidRPr="00767038" w:rsidRDefault="00D936D7" w:rsidP="00376576">
      <w:pPr>
        <w:rPr>
          <w:lang w:val="pl-PL"/>
        </w:rPr>
      </w:pPr>
      <w:r w:rsidRPr="00767038">
        <w:rPr>
          <w:lang w:val="pl-PL"/>
        </w:rPr>
        <w:t xml:space="preserve">Wydatkami bezpośrednimi </w:t>
      </w:r>
      <w:r w:rsidR="00AC25C8" w:rsidRPr="00767038">
        <w:rPr>
          <w:lang w:val="pl-PL"/>
        </w:rPr>
        <w:t xml:space="preserve">w projekcie </w:t>
      </w:r>
      <w:r w:rsidRPr="00767038">
        <w:rPr>
          <w:lang w:val="pl-PL"/>
        </w:rPr>
        <w:t xml:space="preserve">są wszelkie  koszty kwalifikowalne, które można przypisać bezpośrednio do projektu i </w:t>
      </w:r>
      <w:r w:rsidR="00AC25C8" w:rsidRPr="00767038">
        <w:rPr>
          <w:lang w:val="pl-PL"/>
        </w:rPr>
        <w:t>zostały wskazane</w:t>
      </w:r>
      <w:r w:rsidRPr="00767038">
        <w:rPr>
          <w:lang w:val="pl-PL"/>
        </w:rPr>
        <w:t xml:space="preserve"> przez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i/lub partnera lub partnerów projektu zgodnie z zasadami rachunkowości i typowymi zasadami wewnętrznymi</w:t>
      </w:r>
      <w:r w:rsidR="00ED182F" w:rsidRPr="00767038">
        <w:rPr>
          <w:lang w:val="pl-PL"/>
        </w:rPr>
        <w:t xml:space="preserve">. </w:t>
      </w:r>
    </w:p>
    <w:p w:rsidR="00ED182F" w:rsidRPr="00767038" w:rsidRDefault="00D936D7" w:rsidP="00376576">
      <w:pPr>
        <w:rPr>
          <w:lang w:val="pl-PL"/>
        </w:rPr>
      </w:pPr>
      <w:r w:rsidRPr="00767038">
        <w:rPr>
          <w:lang w:val="pl-PL"/>
        </w:rPr>
        <w:t xml:space="preserve">W następujących </w:t>
      </w:r>
      <w:r w:rsidR="000C0F0F" w:rsidRPr="00767038">
        <w:rPr>
          <w:lang w:val="pl-PL"/>
        </w:rPr>
        <w:t>podsekcjach</w:t>
      </w:r>
      <w:r w:rsidRPr="00767038">
        <w:rPr>
          <w:lang w:val="pl-PL"/>
        </w:rPr>
        <w:t xml:space="preserve"> przedstawiono kategorie wydatków bezpośrednich, które można uznać za kwalifikowalne</w:t>
      </w:r>
      <w:r w:rsidR="00ED182F" w:rsidRPr="00767038">
        <w:rPr>
          <w:rStyle w:val="Odwoanieprzypisudolnego"/>
          <w:lang w:val="pl-PL"/>
        </w:rPr>
        <w:footnoteReference w:id="7"/>
      </w:r>
      <w:r w:rsidR="00ED182F" w:rsidRPr="00767038">
        <w:rPr>
          <w:lang w:val="pl-PL"/>
        </w:rPr>
        <w:t>.</w:t>
      </w:r>
    </w:p>
    <w:p w:rsidR="00ED182F" w:rsidRPr="00767038" w:rsidRDefault="00D936D7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Koszt </w:t>
      </w:r>
      <w:r w:rsidR="000C0F0F" w:rsidRPr="00767038">
        <w:rPr>
          <w:lang w:val="pl-PL"/>
        </w:rPr>
        <w:t>personelu</w:t>
      </w:r>
      <w:r w:rsidRPr="00767038">
        <w:rPr>
          <w:lang w:val="pl-PL"/>
        </w:rPr>
        <w:t xml:space="preserve"> przy</w:t>
      </w:r>
      <w:r w:rsidR="00AC25C8" w:rsidRPr="00767038">
        <w:rPr>
          <w:lang w:val="pl-PL"/>
        </w:rPr>
        <w:t>dzielonego</w:t>
      </w:r>
      <w:r w:rsidRPr="00767038">
        <w:rPr>
          <w:lang w:val="pl-PL"/>
        </w:rPr>
        <w:t xml:space="preserve"> do projektu</w:t>
      </w:r>
    </w:p>
    <w:p w:rsidR="00D93A4B" w:rsidRPr="00767038" w:rsidRDefault="008938A4" w:rsidP="00376576">
      <w:pPr>
        <w:rPr>
          <w:lang w:val="pl-PL"/>
        </w:rPr>
      </w:pPr>
      <w:r w:rsidRPr="00767038">
        <w:rPr>
          <w:lang w:val="pl-PL"/>
        </w:rPr>
        <w:t>Koszt personelu przy</w:t>
      </w:r>
      <w:r w:rsidR="00AC25C8" w:rsidRPr="00767038">
        <w:rPr>
          <w:lang w:val="pl-PL"/>
        </w:rPr>
        <w:t>dzielonego</w:t>
      </w:r>
      <w:r w:rsidRPr="00767038">
        <w:rPr>
          <w:lang w:val="pl-PL"/>
        </w:rPr>
        <w:t xml:space="preserve"> do projektu, w tym </w:t>
      </w:r>
      <w:r w:rsidR="00AC25C8" w:rsidRPr="00767038">
        <w:rPr>
          <w:lang w:val="pl-PL"/>
        </w:rPr>
        <w:t xml:space="preserve">faktyczne </w:t>
      </w:r>
      <w:r w:rsidRPr="00767038">
        <w:rPr>
          <w:lang w:val="pl-PL"/>
        </w:rPr>
        <w:t>wynagrodzenia</w:t>
      </w:r>
      <w:r w:rsidR="00AC25C8" w:rsidRPr="00767038">
        <w:rPr>
          <w:lang w:val="pl-PL"/>
        </w:rPr>
        <w:t>,</w:t>
      </w:r>
      <w:r w:rsidRPr="00767038">
        <w:rPr>
          <w:lang w:val="pl-PL"/>
        </w:rPr>
        <w:t xml:space="preserve"> składki na ubezpieczenie społeczne i </w:t>
      </w:r>
      <w:r w:rsidR="00AC25C8" w:rsidRPr="00767038">
        <w:rPr>
          <w:lang w:val="pl-PL"/>
        </w:rPr>
        <w:t>inne</w:t>
      </w:r>
      <w:r w:rsidRPr="00767038">
        <w:rPr>
          <w:lang w:val="pl-PL"/>
        </w:rPr>
        <w:t xml:space="preserve"> koszty ustawowe </w:t>
      </w:r>
      <w:r w:rsidR="00AC25C8" w:rsidRPr="00767038">
        <w:rPr>
          <w:lang w:val="pl-PL"/>
        </w:rPr>
        <w:t>wchodzące w skład</w:t>
      </w:r>
      <w:r w:rsidRPr="00767038">
        <w:rPr>
          <w:lang w:val="pl-PL"/>
        </w:rPr>
        <w:t xml:space="preserve"> wynagrodzenia</w:t>
      </w:r>
      <w:r w:rsidR="00ED182F" w:rsidRPr="00767038">
        <w:rPr>
          <w:lang w:val="pl-PL"/>
        </w:rPr>
        <w:t>,</w:t>
      </w:r>
      <w:r w:rsidRPr="00767038">
        <w:rPr>
          <w:lang w:val="pl-PL"/>
        </w:rPr>
        <w:t xml:space="preserve"> </w:t>
      </w:r>
      <w:r w:rsidR="008211F5" w:rsidRPr="00767038">
        <w:rPr>
          <w:lang w:val="pl-PL"/>
        </w:rPr>
        <w:t xml:space="preserve">pod </w:t>
      </w:r>
      <w:r w:rsidR="00A35E94" w:rsidRPr="00767038">
        <w:rPr>
          <w:lang w:val="pl-PL"/>
        </w:rPr>
        <w:lastRenderedPageBreak/>
        <w:t>warunkiem</w:t>
      </w:r>
      <w:r w:rsidR="008211F5" w:rsidRPr="00767038">
        <w:rPr>
          <w:lang w:val="pl-PL"/>
        </w:rPr>
        <w:t>, że są one</w:t>
      </w:r>
      <w:r w:rsidRPr="00767038">
        <w:rPr>
          <w:lang w:val="pl-PL"/>
        </w:rPr>
        <w:t xml:space="preserve"> zgodne z</w:t>
      </w:r>
      <w:r w:rsidR="008211F5" w:rsidRPr="00767038">
        <w:rPr>
          <w:lang w:val="pl-PL"/>
        </w:rPr>
        <w:t>e standardowymi zasadami ustalania</w:t>
      </w:r>
      <w:r w:rsidRPr="00767038">
        <w:rPr>
          <w:lang w:val="pl-PL"/>
        </w:rPr>
        <w:t xml:space="preserve"> wynagrodzeń</w:t>
      </w:r>
      <w:r w:rsidR="008211F5" w:rsidRPr="00767038">
        <w:rPr>
          <w:lang w:val="pl-PL"/>
        </w:rPr>
        <w:t xml:space="preserve"> </w:t>
      </w:r>
      <w:r w:rsidR="00A35E94" w:rsidRPr="00767038">
        <w:rPr>
          <w:lang w:val="pl-PL"/>
        </w:rPr>
        <w:t>przez beneficjenta</w:t>
      </w:r>
      <w:r w:rsidRPr="00767038">
        <w:rPr>
          <w:lang w:val="pl-PL"/>
        </w:rPr>
        <w:t xml:space="preserve"> </w:t>
      </w:r>
      <w:r w:rsidR="008211F5" w:rsidRPr="00767038">
        <w:rPr>
          <w:lang w:val="pl-PL"/>
        </w:rPr>
        <w:t xml:space="preserve">i </w:t>
      </w:r>
      <w:r w:rsidRPr="00767038">
        <w:rPr>
          <w:lang w:val="pl-PL"/>
        </w:rPr>
        <w:t>partnera projektu</w:t>
      </w:r>
      <w:r w:rsidR="00ED182F" w:rsidRPr="00767038">
        <w:rPr>
          <w:lang w:val="pl-PL"/>
        </w:rPr>
        <w:t>.</w:t>
      </w:r>
    </w:p>
    <w:p w:rsidR="00ED182F" w:rsidRPr="00767038" w:rsidRDefault="00E8144F" w:rsidP="00376576">
      <w:pPr>
        <w:rPr>
          <w:lang w:val="pl-PL"/>
        </w:rPr>
      </w:pPr>
      <w:r w:rsidRPr="00767038">
        <w:rPr>
          <w:lang w:val="pl-PL"/>
        </w:rPr>
        <w:t>W ramach p</w:t>
      </w:r>
      <w:r w:rsidR="002061D8" w:rsidRPr="00767038">
        <w:rPr>
          <w:lang w:val="pl-PL"/>
        </w:rPr>
        <w:t>rojekt</w:t>
      </w:r>
      <w:r w:rsidR="00C90BEC">
        <w:rPr>
          <w:lang w:val="pl-PL"/>
        </w:rPr>
        <w:t>u</w:t>
      </w:r>
      <w:r w:rsidR="002061D8" w:rsidRPr="00767038">
        <w:rPr>
          <w:lang w:val="pl-PL"/>
        </w:rPr>
        <w:t xml:space="preserve"> można </w:t>
      </w:r>
      <w:r w:rsidRPr="00767038">
        <w:rPr>
          <w:lang w:val="pl-PL"/>
        </w:rPr>
        <w:t>rozliczać</w:t>
      </w:r>
      <w:r w:rsidR="002061D8" w:rsidRPr="00767038">
        <w:rPr>
          <w:lang w:val="pl-PL"/>
        </w:rPr>
        <w:t xml:space="preserve"> wyłącznie koszt</w:t>
      </w:r>
      <w:r w:rsidRPr="00767038">
        <w:rPr>
          <w:lang w:val="pl-PL"/>
        </w:rPr>
        <w:t>y</w:t>
      </w:r>
      <w:r w:rsidR="002061D8" w:rsidRPr="00767038">
        <w:rPr>
          <w:lang w:val="pl-PL"/>
        </w:rPr>
        <w:t xml:space="preserve"> wynagrodzeń za rzeczywiście przepracowany czas osób wykonujących pracę w ramach projektu</w:t>
      </w:r>
      <w:r w:rsidR="00ED182F" w:rsidRPr="00767038">
        <w:rPr>
          <w:lang w:val="pl-PL"/>
        </w:rPr>
        <w:t xml:space="preserve">. </w:t>
      </w:r>
      <w:r w:rsidR="002061D8" w:rsidRPr="00767038">
        <w:rPr>
          <w:lang w:val="pl-PL"/>
        </w:rPr>
        <w:t>Czas pracy stanowi całkowitą liczbę godzin, w wyłączeniem urlopów, czasu wolnego</w:t>
      </w:r>
      <w:r w:rsidR="00ED182F" w:rsidRPr="00767038">
        <w:rPr>
          <w:lang w:val="pl-PL"/>
        </w:rPr>
        <w:t>,</w:t>
      </w:r>
      <w:r w:rsidR="002061D8" w:rsidRPr="00767038">
        <w:rPr>
          <w:lang w:val="pl-PL"/>
        </w:rPr>
        <w:t xml:space="preserve"> zwolnień chorobowych lub innych świadczeń</w:t>
      </w:r>
      <w:r w:rsidR="00ED182F" w:rsidRPr="00767038">
        <w:rPr>
          <w:lang w:val="pl-PL"/>
        </w:rPr>
        <w:t xml:space="preserve">. </w:t>
      </w:r>
      <w:r w:rsidR="002061D8" w:rsidRPr="00767038">
        <w:rPr>
          <w:lang w:val="pl-PL"/>
        </w:rPr>
        <w:t xml:space="preserve">Czas pracy rejestruje się przez cały okres realizacji projektu </w:t>
      </w:r>
      <w:r w:rsidRPr="00767038">
        <w:rPr>
          <w:lang w:val="pl-PL"/>
        </w:rPr>
        <w:t>za pomocą</w:t>
      </w:r>
      <w:r w:rsidR="002061D8" w:rsidRPr="00767038">
        <w:rPr>
          <w:lang w:val="pl-PL"/>
        </w:rPr>
        <w:t xml:space="preserve"> kart</w:t>
      </w:r>
      <w:r w:rsidRPr="00767038">
        <w:rPr>
          <w:lang w:val="pl-PL"/>
        </w:rPr>
        <w:t xml:space="preserve"> czasu</w:t>
      </w:r>
      <w:r w:rsidR="002061D8" w:rsidRPr="00767038">
        <w:rPr>
          <w:lang w:val="pl-PL"/>
        </w:rPr>
        <w:t xml:space="preserve"> pracy lub </w:t>
      </w:r>
      <w:r w:rsidRPr="00767038">
        <w:rPr>
          <w:lang w:val="pl-PL"/>
        </w:rPr>
        <w:t xml:space="preserve">w </w:t>
      </w:r>
      <w:r w:rsidR="002061D8" w:rsidRPr="00767038">
        <w:rPr>
          <w:lang w:val="pl-PL"/>
        </w:rPr>
        <w:t>odpowiednim systemie do rejestrowania czasu pracy, a także dokumentuje pod względem faktyczności i rzeczywistości</w:t>
      </w:r>
      <w:r w:rsidR="00ED182F" w:rsidRPr="00767038">
        <w:rPr>
          <w:lang w:val="pl-PL"/>
        </w:rPr>
        <w:t xml:space="preserve">. </w:t>
      </w:r>
    </w:p>
    <w:p w:rsidR="00ED182F" w:rsidRPr="00767038" w:rsidRDefault="002061D8" w:rsidP="00376576">
      <w:pPr>
        <w:rPr>
          <w:lang w:val="pl-PL"/>
        </w:rPr>
      </w:pPr>
      <w:r w:rsidRPr="00767038">
        <w:rPr>
          <w:lang w:val="pl-PL"/>
        </w:rPr>
        <w:t>Pod uwagę należy wziąć także następujące zasady</w:t>
      </w:r>
      <w:r w:rsidR="00ED182F" w:rsidRPr="00767038">
        <w:rPr>
          <w:lang w:val="pl-PL"/>
        </w:rPr>
        <w:t>:</w:t>
      </w:r>
    </w:p>
    <w:p w:rsidR="00ED182F" w:rsidRPr="00767038" w:rsidRDefault="002061D8" w:rsidP="00767038">
      <w:pPr>
        <w:pStyle w:val="Akapitzlist"/>
        <w:numPr>
          <w:ilvl w:val="0"/>
          <w:numId w:val="4"/>
        </w:numPr>
        <w:rPr>
          <w:lang w:val="pl-PL"/>
        </w:rPr>
      </w:pPr>
      <w:r w:rsidRPr="00767038">
        <w:rPr>
          <w:lang w:val="pl-PL"/>
        </w:rPr>
        <w:t>istnienie umowy o pracę/dzieło lub decyzji w sprawie zatrudnienia</w:t>
      </w:r>
      <w:r w:rsidR="00ED182F" w:rsidRPr="00767038">
        <w:rPr>
          <w:lang w:val="pl-PL"/>
        </w:rPr>
        <w:t>.</w:t>
      </w:r>
      <w:r w:rsidRPr="00767038">
        <w:rPr>
          <w:lang w:val="pl-PL"/>
        </w:rPr>
        <w:t xml:space="preserve"> Jeżeli pracownik jest zatrudniony wyłącznie na potrzeby realizacji projektu (w pełnym 100% wymiarze czasu pracy</w:t>
      </w:r>
      <w:r w:rsidR="00ED182F" w:rsidRPr="00767038">
        <w:rPr>
          <w:szCs w:val="20"/>
          <w:lang w:val="pl-PL"/>
        </w:rPr>
        <w:t>),</w:t>
      </w:r>
      <w:r w:rsidR="00B335D0" w:rsidRPr="00767038">
        <w:rPr>
          <w:szCs w:val="20"/>
          <w:lang w:val="pl-PL"/>
        </w:rPr>
        <w:t xml:space="preserve"> w decyzji dotyczącej umowy/zatrudnienia należy zawrzeć jednoznaczne odniesienie do projektu w celu uniknięcia wątpliwości</w:t>
      </w:r>
      <w:r w:rsidR="00ED182F" w:rsidRPr="00767038">
        <w:rPr>
          <w:szCs w:val="20"/>
          <w:lang w:val="pl-PL"/>
        </w:rPr>
        <w:t xml:space="preserve">. </w:t>
      </w:r>
      <w:r w:rsidR="00B335D0" w:rsidRPr="00767038">
        <w:rPr>
          <w:szCs w:val="20"/>
          <w:lang w:val="pl-PL"/>
        </w:rPr>
        <w:t xml:space="preserve">W takim wypadku karty </w:t>
      </w:r>
      <w:r w:rsidR="00E8144F" w:rsidRPr="00767038">
        <w:rPr>
          <w:szCs w:val="20"/>
          <w:lang w:val="pl-PL"/>
        </w:rPr>
        <w:t xml:space="preserve">czasu </w:t>
      </w:r>
      <w:r w:rsidR="00A35E94" w:rsidRPr="00767038">
        <w:rPr>
          <w:szCs w:val="20"/>
          <w:lang w:val="pl-PL"/>
        </w:rPr>
        <w:t>pracy nie</w:t>
      </w:r>
      <w:r w:rsidR="00B335D0" w:rsidRPr="00767038">
        <w:rPr>
          <w:szCs w:val="20"/>
          <w:lang w:val="pl-PL"/>
        </w:rPr>
        <w:t xml:space="preserve"> </w:t>
      </w:r>
      <w:r w:rsidR="00E8144F" w:rsidRPr="00767038">
        <w:rPr>
          <w:szCs w:val="20"/>
          <w:lang w:val="pl-PL"/>
        </w:rPr>
        <w:t>są</w:t>
      </w:r>
      <w:r w:rsidR="00B335D0" w:rsidRPr="00767038">
        <w:rPr>
          <w:szCs w:val="20"/>
          <w:lang w:val="pl-PL"/>
        </w:rPr>
        <w:t xml:space="preserve"> wymagane</w:t>
      </w:r>
      <w:r w:rsidR="00ED182F" w:rsidRPr="00767038">
        <w:rPr>
          <w:szCs w:val="20"/>
          <w:lang w:val="pl-PL"/>
        </w:rPr>
        <w:t>;</w:t>
      </w:r>
    </w:p>
    <w:p w:rsidR="00ED182F" w:rsidRPr="00767038" w:rsidRDefault="00E8144F" w:rsidP="00767038">
      <w:pPr>
        <w:pStyle w:val="Akapitzlist"/>
        <w:numPr>
          <w:ilvl w:val="0"/>
          <w:numId w:val="4"/>
        </w:numPr>
        <w:rPr>
          <w:lang w:val="pl-PL"/>
        </w:rPr>
      </w:pPr>
      <w:r w:rsidRPr="00767038">
        <w:rPr>
          <w:lang w:val="pl-PL"/>
        </w:rPr>
        <w:t xml:space="preserve">praca </w:t>
      </w:r>
      <w:r w:rsidR="00B335D0" w:rsidRPr="00767038">
        <w:rPr>
          <w:lang w:val="pl-PL"/>
        </w:rPr>
        <w:t>w godzinach nadliczbowych moż</w:t>
      </w:r>
      <w:r w:rsidRPr="00767038">
        <w:rPr>
          <w:lang w:val="pl-PL"/>
        </w:rPr>
        <w:t>e</w:t>
      </w:r>
      <w:r w:rsidR="00B335D0" w:rsidRPr="00767038">
        <w:rPr>
          <w:lang w:val="pl-PL"/>
        </w:rPr>
        <w:t xml:space="preserve"> </w:t>
      </w:r>
      <w:r w:rsidRPr="00767038">
        <w:rPr>
          <w:lang w:val="pl-PL"/>
        </w:rPr>
        <w:t>być akceptowana</w:t>
      </w:r>
      <w:r w:rsidR="00B335D0" w:rsidRPr="00767038">
        <w:rPr>
          <w:lang w:val="pl-PL"/>
        </w:rPr>
        <w:t xml:space="preserve"> pod warunkiem, że wymaga tego projekt i jest to zgodne z</w:t>
      </w:r>
      <w:r w:rsidR="00027BEA">
        <w:rPr>
          <w:lang w:val="pl-PL"/>
        </w:rPr>
        <w:t>e</w:t>
      </w:r>
      <w:r w:rsidR="00B335D0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standardową </w:t>
      </w:r>
      <w:r w:rsidR="00B335D0" w:rsidRPr="00767038">
        <w:rPr>
          <w:lang w:val="pl-PL"/>
        </w:rPr>
        <w:t xml:space="preserve">polityką </w:t>
      </w:r>
      <w:r w:rsidR="00AC25C8" w:rsidRPr="00767038">
        <w:rPr>
          <w:lang w:val="pl-PL"/>
        </w:rPr>
        <w:t>beneficjenta</w:t>
      </w:r>
      <w:r w:rsidR="00B335D0" w:rsidRPr="00767038">
        <w:rPr>
          <w:lang w:val="pl-PL"/>
        </w:rPr>
        <w:t xml:space="preserve"> i partnera projektu oraz prawodawstwem krajowym. Regularne płatności za pracę w godzinach nadliczbowych nie są zgodne z </w:t>
      </w:r>
      <w:r w:rsidR="00C90BEC">
        <w:rPr>
          <w:lang w:val="pl-PL"/>
        </w:rPr>
        <w:t xml:space="preserve">wymogami Regulacji odnośnie </w:t>
      </w:r>
      <w:r w:rsidR="00B335D0" w:rsidRPr="00767038">
        <w:rPr>
          <w:lang w:val="pl-PL"/>
        </w:rPr>
        <w:t>proporcjonalności i racjonalnego zarządzania finansami, o który</w:t>
      </w:r>
      <w:r w:rsidRPr="00767038">
        <w:rPr>
          <w:lang w:val="pl-PL"/>
        </w:rPr>
        <w:t>ch</w:t>
      </w:r>
      <w:r w:rsidR="00B335D0" w:rsidRPr="00767038">
        <w:rPr>
          <w:lang w:val="pl-PL"/>
        </w:rPr>
        <w:t xml:space="preserve"> mowa w art. </w:t>
      </w:r>
      <w:r w:rsidR="00ED182F" w:rsidRPr="00767038">
        <w:rPr>
          <w:lang w:val="pl-PL"/>
        </w:rPr>
        <w:t>8.2.2</w:t>
      </w:r>
      <w:r w:rsidR="00B335D0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ED182F" w:rsidRPr="00767038">
        <w:rPr>
          <w:lang w:val="pl-PL"/>
        </w:rPr>
        <w:t>;</w:t>
      </w:r>
    </w:p>
    <w:p w:rsidR="00B335D0" w:rsidRPr="00767038" w:rsidRDefault="00B335D0" w:rsidP="00767038">
      <w:pPr>
        <w:pStyle w:val="Akapitzlist"/>
        <w:numPr>
          <w:ilvl w:val="0"/>
          <w:numId w:val="4"/>
        </w:numPr>
        <w:rPr>
          <w:lang w:val="pl-PL"/>
        </w:rPr>
      </w:pPr>
      <w:r w:rsidRPr="00767038">
        <w:rPr>
          <w:lang w:val="pl-PL"/>
        </w:rPr>
        <w:t>koszt</w:t>
      </w:r>
      <w:r w:rsidR="00E8144F" w:rsidRPr="00767038">
        <w:rPr>
          <w:lang w:val="pl-PL"/>
        </w:rPr>
        <w:t>y</w:t>
      </w:r>
      <w:r w:rsidRPr="00767038">
        <w:rPr>
          <w:lang w:val="pl-PL"/>
        </w:rPr>
        <w:t xml:space="preserve"> stał</w:t>
      </w:r>
      <w:r w:rsidR="00E8144F" w:rsidRPr="00767038">
        <w:rPr>
          <w:lang w:val="pl-PL"/>
        </w:rPr>
        <w:t>e</w:t>
      </w:r>
      <w:r w:rsidR="00ED182F" w:rsidRPr="00767038">
        <w:rPr>
          <w:lang w:val="pl-PL"/>
        </w:rPr>
        <w:t xml:space="preserve">, </w:t>
      </w:r>
      <w:r w:rsidRPr="00767038">
        <w:rPr>
          <w:lang w:val="pl-PL"/>
        </w:rPr>
        <w:t>diet</w:t>
      </w:r>
      <w:r w:rsidR="00E8144F" w:rsidRPr="00767038">
        <w:rPr>
          <w:lang w:val="pl-PL"/>
        </w:rPr>
        <w:t>y</w:t>
      </w:r>
      <w:r w:rsidRPr="00767038">
        <w:rPr>
          <w:lang w:val="pl-PL"/>
        </w:rPr>
        <w:t xml:space="preserve"> dzienn</w:t>
      </w:r>
      <w:r w:rsidR="00E8144F" w:rsidRPr="00767038">
        <w:rPr>
          <w:lang w:val="pl-PL"/>
        </w:rPr>
        <w:t>e</w:t>
      </w:r>
      <w:r w:rsidRPr="00767038">
        <w:rPr>
          <w:lang w:val="pl-PL"/>
        </w:rPr>
        <w:t xml:space="preserve"> i pozostał</w:t>
      </w:r>
      <w:r w:rsidR="00E8144F" w:rsidRPr="00767038">
        <w:rPr>
          <w:lang w:val="pl-PL"/>
        </w:rPr>
        <w:t>e</w:t>
      </w:r>
      <w:r w:rsidRPr="00767038">
        <w:rPr>
          <w:lang w:val="pl-PL"/>
        </w:rPr>
        <w:t xml:space="preserve"> koszt</w:t>
      </w:r>
      <w:r w:rsidR="00E8144F" w:rsidRPr="00767038">
        <w:rPr>
          <w:lang w:val="pl-PL"/>
        </w:rPr>
        <w:t>y</w:t>
      </w:r>
      <w:r w:rsidRPr="00767038">
        <w:rPr>
          <w:lang w:val="pl-PL"/>
        </w:rPr>
        <w:t xml:space="preserve"> podróży nie </w:t>
      </w:r>
      <w:r w:rsidR="00E8144F" w:rsidRPr="00767038">
        <w:rPr>
          <w:lang w:val="pl-PL"/>
        </w:rPr>
        <w:t>powinny być klasyfikowane w ramach</w:t>
      </w:r>
      <w:r w:rsidRPr="00767038">
        <w:rPr>
          <w:lang w:val="pl-PL"/>
        </w:rPr>
        <w:t xml:space="preserve"> tej kategorii wydatków</w:t>
      </w:r>
      <w:r w:rsidR="00ED182F" w:rsidRPr="00767038">
        <w:rPr>
          <w:lang w:val="pl-PL"/>
        </w:rPr>
        <w:t>;</w:t>
      </w:r>
    </w:p>
    <w:p w:rsidR="00AC25C8" w:rsidRPr="00767038" w:rsidRDefault="00FB2938" w:rsidP="00767038">
      <w:pPr>
        <w:pStyle w:val="Akapitzlist"/>
        <w:numPr>
          <w:ilvl w:val="0"/>
          <w:numId w:val="4"/>
        </w:num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369ACE" wp14:editId="05DDBA7D">
                <wp:simplePos x="0" y="0"/>
                <wp:positionH relativeFrom="column">
                  <wp:posOffset>9525</wp:posOffset>
                </wp:positionH>
                <wp:positionV relativeFrom="paragraph">
                  <wp:posOffset>849630</wp:posOffset>
                </wp:positionV>
                <wp:extent cx="5705475" cy="4104005"/>
                <wp:effectExtent l="0" t="0" r="28575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0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ED13FE" w:rsidRDefault="00C522D7" w:rsidP="000F2E1C">
                            <w:pPr>
                              <w:spacing w:after="100" w:afterAutospacing="1" w:line="240" w:lineRule="auto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Przykład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5000" w:type="pct"/>
                              <w:tblLook w:val="0480" w:firstRow="0" w:lastRow="0" w:firstColumn="1" w:lastColumn="0" w:noHBand="0" w:noVBand="1"/>
                            </w:tblPr>
                            <w:tblGrid>
                              <w:gridCol w:w="5530"/>
                              <w:gridCol w:w="3384"/>
                            </w:tblGrid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265F1A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6"/>
                                      <w:lang w:val="pl-PL"/>
                                    </w:rPr>
                                    <w:t>Całkowita liczba dni w roku</w:t>
                                  </w:r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365</w:t>
                                  </w:r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Soboty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niedziele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-104</w:t>
                                  </w:r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Coroczny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urlop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-21</w:t>
                                  </w:r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Święta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państwowe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-15</w:t>
                                  </w:r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Zwolnienia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chorobowe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pozostałe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nieobecności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-15</w:t>
                                  </w:r>
                                </w:p>
                              </w:tc>
                            </w:tr>
                            <w:tr w:rsidR="00C522D7" w:rsidRPr="00A35E94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265F1A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6"/>
                                      <w:lang w:val="pl-PL"/>
                                    </w:rPr>
                                    <w:t>Liczba dni roboczych w roku</w:t>
                                  </w:r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35E94">
                                    <w:rPr>
                                      <w:sz w:val="16"/>
                                      <w:lang w:val="pl-PL"/>
                                    </w:rPr>
                                    <w:t>Całkowita liczba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godzin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roboczych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210 x 7,5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godzin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= 1.575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godzin</w:t>
                                  </w:r>
                                  <w:proofErr w:type="spellEnd"/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265F1A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6"/>
                                      <w:lang w:val="pl-PL"/>
                                    </w:rPr>
                                    <w:t>Całkowite wynagrodzenia (koszty ustawowe, w tym wynagrodzenia za czas urlopów itd.)</w:t>
                                  </w:r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 euro/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rok</w:t>
                                  </w:r>
                                  <w:proofErr w:type="spellEnd"/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Stawka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godzinowa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 euro/1.575 = 19 euro/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godzina</w:t>
                                  </w:r>
                                  <w:proofErr w:type="spellEnd"/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265F1A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6"/>
                                      <w:lang w:val="pl-PL"/>
                                    </w:rPr>
                                    <w:t>Całkowita liczba godzin przepracowanych na projekcie</w:t>
                                  </w:r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C522D7" w:rsidRPr="00ED13FE" w:rsidTr="00506A1D">
                              <w:trPr>
                                <w:trHeight w:val="454"/>
                              </w:trPr>
                              <w:tc>
                                <w:tcPr>
                                  <w:tcW w:w="3102" w:type="pct"/>
                                  <w:vAlign w:val="center"/>
                                </w:tcPr>
                                <w:p w:rsidR="00C522D7" w:rsidRPr="00F34088" w:rsidRDefault="00C522D7" w:rsidP="0028776B">
                                  <w:pPr>
                                    <w:spacing w:after="100" w:afterAutospacing="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Całkowite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koszty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obciążające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projekt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8" w:type="pct"/>
                                  <w:vAlign w:val="center"/>
                                </w:tcPr>
                                <w:p w:rsidR="00C522D7" w:rsidRPr="00F34088" w:rsidRDefault="00C522D7" w:rsidP="007E421B">
                                  <w:pPr>
                                    <w:spacing w:after="100" w:afterAutospac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650 x 19 euro = 12.350 euro</w:t>
                                  </w:r>
                                </w:p>
                              </w:tc>
                            </w:tr>
                          </w:tbl>
                          <w:p w:rsidR="00C522D7" w:rsidRPr="00265F1A" w:rsidRDefault="00C522D7" w:rsidP="008C2068">
                            <w:pPr>
                              <w:spacing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265F1A">
                              <w:rPr>
                                <w:sz w:val="16"/>
                                <w:lang w:val="pl-PL"/>
                              </w:rPr>
                              <w:t>Koszty ustawowe obejmują składki na ubezpieczenie społeczne i p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ozostałe (typowe) świadczenia.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.75pt;margin-top:66.9pt;width:449.25pt;height:323.1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" fillcolor="white [3212]" strokecolor="black [3213]">
                <v:textbox>
                  <w:txbxContent>
                    <w:p w:rsidR="00C522D7" w:rsidRPr="00ED13FE" w:rsidRDefault="00C522D7" w:rsidP="000F2E1C">
                      <w:pPr>
                        <w:spacing w:after="100" w:afterAutospacing="1" w:line="240" w:lineRule="auto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</w:rPr>
                        <w:t>Przykład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5000" w:type="pct"/>
                        <w:tblLook w:val="0480" w:firstRow="0" w:lastRow="0" w:firstColumn="1" w:lastColumn="0" w:noHBand="0" w:noVBand="1"/>
                      </w:tblPr>
                      <w:tblGrid>
                        <w:gridCol w:w="5530"/>
                        <w:gridCol w:w="3384"/>
                      </w:tblGrid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265F1A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5F1A">
                              <w:rPr>
                                <w:sz w:val="16"/>
                                <w:lang w:val="pl-PL"/>
                              </w:rPr>
                              <w:t>Całkowita liczba dni w roku</w:t>
                            </w:r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365</w:t>
                            </w:r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Soboty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niedziele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-104</w:t>
                            </w:r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Coroczny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urlop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-21</w:t>
                            </w:r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Święta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państwowe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-15</w:t>
                            </w:r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Zwolnienia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chorobowe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pozostałe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nieobecności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-15</w:t>
                            </w:r>
                          </w:p>
                        </w:tc>
                      </w:tr>
                      <w:tr w:rsidR="00C522D7" w:rsidRPr="00A35E94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265F1A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5F1A">
                              <w:rPr>
                                <w:sz w:val="16"/>
                                <w:lang w:val="pl-PL"/>
                              </w:rPr>
                              <w:t>Liczba dni roboczych w roku</w:t>
                            </w:r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210</w:t>
                            </w:r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A35E94">
                              <w:rPr>
                                <w:sz w:val="16"/>
                                <w:lang w:val="pl-PL"/>
                              </w:rPr>
                              <w:t>Całkowita liczba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godzin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roboczych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210 x 7,5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godzin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= 1.575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godzin</w:t>
                            </w:r>
                            <w:proofErr w:type="spellEnd"/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265F1A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5F1A">
                              <w:rPr>
                                <w:sz w:val="16"/>
                                <w:lang w:val="pl-PL"/>
                              </w:rPr>
                              <w:t>Całkowite wynagrodzenia (koszty ustawowe, w tym wynagrodzenia za czas urlopów itd.)</w:t>
                            </w:r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 euro/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rok</w:t>
                            </w:r>
                            <w:proofErr w:type="spellEnd"/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Stawka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godzinowa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 euro/1.575 = 19 euro/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godzina</w:t>
                            </w:r>
                            <w:proofErr w:type="spellEnd"/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265F1A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5F1A">
                              <w:rPr>
                                <w:sz w:val="16"/>
                                <w:lang w:val="pl-PL"/>
                              </w:rPr>
                              <w:t>Całkowita liczba godzin przepracowanych na projekcie</w:t>
                            </w:r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650</w:t>
                            </w:r>
                          </w:p>
                        </w:tc>
                      </w:tr>
                      <w:tr w:rsidR="00C522D7" w:rsidRPr="00ED13FE" w:rsidTr="00506A1D">
                        <w:trPr>
                          <w:trHeight w:val="454"/>
                        </w:trPr>
                        <w:tc>
                          <w:tcPr>
                            <w:tcW w:w="3102" w:type="pct"/>
                            <w:vAlign w:val="center"/>
                          </w:tcPr>
                          <w:p w:rsidR="00C522D7" w:rsidRPr="00F34088" w:rsidRDefault="00C522D7" w:rsidP="0028776B">
                            <w:pPr>
                              <w:spacing w:after="100" w:afterAutospac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Całkowite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koszty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obciążające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projekt</w:t>
                            </w:r>
                            <w:proofErr w:type="spellEnd"/>
                          </w:p>
                        </w:tc>
                        <w:tc>
                          <w:tcPr>
                            <w:tcW w:w="1898" w:type="pct"/>
                            <w:vAlign w:val="center"/>
                          </w:tcPr>
                          <w:p w:rsidR="00C522D7" w:rsidRPr="00F34088" w:rsidRDefault="00C522D7" w:rsidP="007E421B">
                            <w:pPr>
                              <w:spacing w:after="100" w:afterAutospac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650 x 19 euro = 12.350 euro</w:t>
                            </w:r>
                          </w:p>
                        </w:tc>
                      </w:tr>
                    </w:tbl>
                    <w:p w:rsidR="00C522D7" w:rsidRPr="00265F1A" w:rsidRDefault="00C522D7" w:rsidP="008C2068">
                      <w:pPr>
                        <w:spacing w:line="240" w:lineRule="auto"/>
                        <w:rPr>
                          <w:sz w:val="16"/>
                          <w:lang w:val="pl-PL"/>
                        </w:rPr>
                      </w:pPr>
                      <w:r w:rsidRPr="00265F1A">
                        <w:rPr>
                          <w:sz w:val="16"/>
                          <w:lang w:val="pl-PL"/>
                        </w:rPr>
                        <w:t>Koszty ustawowe obejmują składki na ubezpieczenie społeczne i p</w:t>
                      </w:r>
                      <w:r>
                        <w:rPr>
                          <w:sz w:val="16"/>
                          <w:lang w:val="pl-PL"/>
                        </w:rPr>
                        <w:t xml:space="preserve">ozostałe (typowe) świadczenia.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F0F" w:rsidRPr="00767038">
        <w:rPr>
          <w:lang w:val="pl-PL"/>
        </w:rPr>
        <w:t>wszelkie dodatkowe świadczenia (np. miesięczne koszty transportu</w:t>
      </w:r>
      <w:r w:rsidR="00CA1389" w:rsidRPr="00767038">
        <w:rPr>
          <w:lang w:val="pl-PL"/>
        </w:rPr>
        <w:t xml:space="preserve">) </w:t>
      </w:r>
      <w:r w:rsidR="000C0F0F" w:rsidRPr="00767038">
        <w:rPr>
          <w:lang w:val="pl-PL"/>
        </w:rPr>
        <w:t xml:space="preserve">należy przypisać bezpośrednio do płatności z tytułu wynagrodzeń oraz muszą one zostać poniesione i zapłacone przez </w:t>
      </w:r>
      <w:r w:rsidR="00AC25C8" w:rsidRPr="00767038">
        <w:rPr>
          <w:lang w:val="pl-PL"/>
        </w:rPr>
        <w:t>beneficjenta</w:t>
      </w:r>
      <w:r w:rsidR="000C0F0F" w:rsidRPr="00767038">
        <w:rPr>
          <w:lang w:val="pl-PL"/>
        </w:rPr>
        <w:t xml:space="preserve"> i/lub partnerów projektu zgodnie z umową o pracę lub odpowiednim prawodawstwem krajowym</w:t>
      </w:r>
      <w:r w:rsidR="00CA1389" w:rsidRPr="00767038">
        <w:rPr>
          <w:lang w:val="pl-PL"/>
        </w:rPr>
        <w:t>.</w:t>
      </w:r>
    </w:p>
    <w:p w:rsidR="00AC25C8" w:rsidRPr="00767038" w:rsidRDefault="00AC25C8" w:rsidP="00AC25C8">
      <w:pPr>
        <w:pStyle w:val="Akapitzlist"/>
        <w:ind w:left="284"/>
        <w:rPr>
          <w:lang w:val="pl-PL"/>
        </w:rPr>
      </w:pPr>
    </w:p>
    <w:p w:rsidR="00610E19" w:rsidRPr="00767038" w:rsidRDefault="006468B3" w:rsidP="005252F1">
      <w:pPr>
        <w:rPr>
          <w:lang w:val="pl-PL"/>
        </w:rPr>
      </w:pPr>
      <w:r w:rsidRPr="00767038">
        <w:rPr>
          <w:lang w:val="pl-PL"/>
        </w:rPr>
        <w:t>Odpowiedni</w:t>
      </w:r>
      <w:r w:rsidR="00370288" w:rsidRPr="00767038">
        <w:rPr>
          <w:lang w:val="pl-PL"/>
        </w:rPr>
        <w:t>e</w:t>
      </w:r>
      <w:r w:rsidRPr="00767038">
        <w:rPr>
          <w:lang w:val="pl-PL"/>
        </w:rPr>
        <w:t xml:space="preserve"> koszty wynagrodzeń </w:t>
      </w:r>
      <w:r w:rsidR="00F62320" w:rsidRPr="00767038">
        <w:rPr>
          <w:lang w:val="pl-PL"/>
        </w:rPr>
        <w:t>personelu</w:t>
      </w:r>
      <w:r w:rsidRPr="00767038">
        <w:rPr>
          <w:lang w:val="pl-PL"/>
        </w:rPr>
        <w:t xml:space="preserve"> administracji krajowych są kosztami kwalifikowalnymi w zakresie, w jaki</w:t>
      </w:r>
      <w:r w:rsidR="00370288" w:rsidRPr="00767038">
        <w:rPr>
          <w:lang w:val="pl-PL"/>
        </w:rPr>
        <w:t>m</w:t>
      </w:r>
      <w:r w:rsidRPr="00767038">
        <w:rPr>
          <w:lang w:val="pl-PL"/>
        </w:rPr>
        <w:t xml:space="preserve"> dotyczą one koszt</w:t>
      </w:r>
      <w:r w:rsidR="00370288" w:rsidRPr="00767038">
        <w:rPr>
          <w:lang w:val="pl-PL"/>
        </w:rPr>
        <w:t>ów</w:t>
      </w:r>
      <w:r w:rsidRPr="00767038">
        <w:rPr>
          <w:lang w:val="pl-PL"/>
        </w:rPr>
        <w:t xml:space="preserve"> działań, które nie zostałyby przeprowadzone, jeżeli projekt nie byłby realizowany</w:t>
      </w:r>
      <w:r w:rsidR="005252F1" w:rsidRPr="00767038">
        <w:rPr>
          <w:lang w:val="pl-PL"/>
        </w:rPr>
        <w:t>.</w:t>
      </w:r>
    </w:p>
    <w:p w:rsidR="00ED182F" w:rsidRPr="00767038" w:rsidRDefault="007950F7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Dodatki na koszty podróży i </w:t>
      </w:r>
      <w:r w:rsidR="00E8144F" w:rsidRPr="00767038">
        <w:rPr>
          <w:lang w:val="pl-PL"/>
        </w:rPr>
        <w:t xml:space="preserve">diety </w:t>
      </w:r>
      <w:r w:rsidRPr="00767038">
        <w:rPr>
          <w:lang w:val="pl-PL"/>
        </w:rPr>
        <w:t xml:space="preserve">dla personelu </w:t>
      </w:r>
      <w:r w:rsidR="00E8144F" w:rsidRPr="00767038">
        <w:rPr>
          <w:lang w:val="pl-PL"/>
        </w:rPr>
        <w:t xml:space="preserve">uczestniczącego </w:t>
      </w:r>
      <w:r w:rsidRPr="00767038">
        <w:rPr>
          <w:lang w:val="pl-PL"/>
        </w:rPr>
        <w:t>w projek</w:t>
      </w:r>
      <w:r w:rsidR="00E8144F" w:rsidRPr="00767038">
        <w:rPr>
          <w:lang w:val="pl-PL"/>
        </w:rPr>
        <w:t>cie</w:t>
      </w:r>
    </w:p>
    <w:p w:rsidR="00ED182F" w:rsidRPr="00767038" w:rsidRDefault="007950F7" w:rsidP="00376576">
      <w:pPr>
        <w:rPr>
          <w:lang w:val="pl-PL"/>
        </w:rPr>
      </w:pPr>
      <w:r w:rsidRPr="00767038">
        <w:rPr>
          <w:lang w:val="pl-PL"/>
        </w:rPr>
        <w:t>Poniżej przedstawiono określone warunki, które dotyczą kosztów podróży i pobytu</w:t>
      </w:r>
      <w:r w:rsidR="00AC79EE" w:rsidRPr="00767038">
        <w:rPr>
          <w:lang w:val="pl-PL"/>
        </w:rPr>
        <w:t>:</w:t>
      </w:r>
    </w:p>
    <w:p w:rsidR="00ED182F" w:rsidRPr="00767038" w:rsidRDefault="007950F7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767038">
        <w:rPr>
          <w:lang w:val="pl-PL"/>
        </w:rPr>
        <w:t xml:space="preserve">podróż musi być jednoznacznie związana z realizacją projektu i </w:t>
      </w:r>
      <w:r w:rsidR="00E8144F" w:rsidRPr="00767038">
        <w:rPr>
          <w:lang w:val="pl-PL"/>
        </w:rPr>
        <w:t>odbyta przez</w:t>
      </w:r>
      <w:r w:rsidRPr="00767038">
        <w:rPr>
          <w:lang w:val="pl-PL"/>
        </w:rPr>
        <w:t xml:space="preserve"> pracowni</w:t>
      </w:r>
      <w:r w:rsidR="00E8144F" w:rsidRPr="00767038">
        <w:rPr>
          <w:lang w:val="pl-PL"/>
        </w:rPr>
        <w:t>ka</w:t>
      </w:r>
      <w:r w:rsidRPr="00767038">
        <w:rPr>
          <w:lang w:val="pl-PL"/>
        </w:rPr>
        <w:t xml:space="preserve">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i/lub partnera projektu</w:t>
      </w:r>
      <w:r w:rsidR="00ED182F" w:rsidRPr="00767038">
        <w:rPr>
          <w:lang w:val="pl-PL"/>
        </w:rPr>
        <w:t>;</w:t>
      </w:r>
    </w:p>
    <w:p w:rsidR="00ED182F" w:rsidRPr="00506A1D" w:rsidRDefault="007950F7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506A1D">
        <w:rPr>
          <w:lang w:val="pl-PL"/>
        </w:rPr>
        <w:t xml:space="preserve">płatność dokonana bezpośrednio przez </w:t>
      </w:r>
      <w:r w:rsidR="0071514A" w:rsidRPr="00506A1D">
        <w:rPr>
          <w:lang w:val="pl-PL"/>
        </w:rPr>
        <w:t xml:space="preserve">uczestnika podróży </w:t>
      </w:r>
      <w:r w:rsidRPr="00506A1D">
        <w:rPr>
          <w:lang w:val="pl-PL"/>
        </w:rPr>
        <w:t>musi być udokumentowana dowodem płatności</w:t>
      </w:r>
      <w:r w:rsidR="00ED182F" w:rsidRPr="00506A1D">
        <w:rPr>
          <w:lang w:val="pl-PL"/>
        </w:rPr>
        <w:t>;</w:t>
      </w:r>
    </w:p>
    <w:p w:rsidR="00ED182F" w:rsidRPr="00506A1D" w:rsidRDefault="0071514A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506A1D">
        <w:rPr>
          <w:lang w:val="pl-PL"/>
        </w:rPr>
        <w:t>żadn</w:t>
      </w:r>
      <w:r w:rsidR="00BE7DF5" w:rsidRPr="00506A1D">
        <w:rPr>
          <w:lang w:val="pl-PL"/>
        </w:rPr>
        <w:t>ej</w:t>
      </w:r>
      <w:r w:rsidRPr="00506A1D">
        <w:rPr>
          <w:lang w:val="pl-PL"/>
        </w:rPr>
        <w:t xml:space="preserve"> z </w:t>
      </w:r>
      <w:r w:rsidR="007950F7" w:rsidRPr="00506A1D">
        <w:rPr>
          <w:lang w:val="pl-PL"/>
        </w:rPr>
        <w:t>pozycji wydatków, któr</w:t>
      </w:r>
      <w:r w:rsidR="00BE7DF5" w:rsidRPr="00506A1D">
        <w:rPr>
          <w:lang w:val="pl-PL"/>
        </w:rPr>
        <w:t>a</w:t>
      </w:r>
      <w:r w:rsidR="007950F7" w:rsidRPr="00506A1D">
        <w:rPr>
          <w:lang w:val="pl-PL"/>
        </w:rPr>
        <w:t xml:space="preserve"> pokrywa się z diet</w:t>
      </w:r>
      <w:r w:rsidR="006D31E2" w:rsidRPr="00506A1D">
        <w:rPr>
          <w:lang w:val="pl-PL"/>
        </w:rPr>
        <w:t>ą</w:t>
      </w:r>
      <w:r w:rsidR="007950F7" w:rsidRPr="00506A1D">
        <w:rPr>
          <w:lang w:val="pl-PL"/>
        </w:rPr>
        <w:t xml:space="preserve"> dzienn</w:t>
      </w:r>
      <w:r w:rsidR="006D31E2" w:rsidRPr="00506A1D">
        <w:rPr>
          <w:lang w:val="pl-PL"/>
        </w:rPr>
        <w:t>ą</w:t>
      </w:r>
      <w:r w:rsidR="007950F7" w:rsidRPr="00506A1D">
        <w:rPr>
          <w:lang w:val="pl-PL"/>
        </w:rPr>
        <w:t>, nie można uznać za kwalifikowalną w związku z dietą dzienną</w:t>
      </w:r>
      <w:r w:rsidR="00ED182F" w:rsidRPr="00506A1D">
        <w:rPr>
          <w:lang w:val="pl-PL"/>
        </w:rPr>
        <w:t>;</w:t>
      </w:r>
    </w:p>
    <w:p w:rsidR="00ED182F" w:rsidRPr="00767038" w:rsidRDefault="00A35E94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767038">
        <w:rPr>
          <w:lang w:val="pl-PL"/>
        </w:rPr>
        <w:t>uwzględniając</w:t>
      </w:r>
      <w:r w:rsidR="00DF3E2F" w:rsidRPr="00767038">
        <w:rPr>
          <w:lang w:val="pl-PL"/>
        </w:rPr>
        <w:t xml:space="preserve"> zasadę proporcjonalności, kwotę kosztów podróży, w</w:t>
      </w:r>
      <w:r w:rsidR="0071514A" w:rsidRPr="00767038">
        <w:rPr>
          <w:lang w:val="pl-PL"/>
        </w:rPr>
        <w:t>łącznie z dietą</w:t>
      </w:r>
      <w:r w:rsidR="00DF3E2F" w:rsidRPr="00767038">
        <w:rPr>
          <w:lang w:val="pl-PL"/>
        </w:rPr>
        <w:t>, można wyliczyć jako kwotę r</w:t>
      </w:r>
      <w:r w:rsidR="00F62320" w:rsidRPr="00767038">
        <w:rPr>
          <w:lang w:val="pl-PL"/>
        </w:rPr>
        <w:t>y</w:t>
      </w:r>
      <w:r w:rsidR="00DF3E2F" w:rsidRPr="00767038">
        <w:rPr>
          <w:lang w:val="pl-PL"/>
        </w:rPr>
        <w:t xml:space="preserve">czałtową </w:t>
      </w:r>
      <w:r w:rsidR="0071514A" w:rsidRPr="00767038">
        <w:rPr>
          <w:lang w:val="pl-PL"/>
        </w:rPr>
        <w:t>na podstawie określonych</w:t>
      </w:r>
      <w:r w:rsidR="00DF3E2F" w:rsidRPr="00767038">
        <w:rPr>
          <w:lang w:val="pl-PL"/>
        </w:rPr>
        <w:t xml:space="preserve"> zasad</w:t>
      </w:r>
      <w:r w:rsidR="0071514A" w:rsidRPr="00767038">
        <w:rPr>
          <w:lang w:val="pl-PL"/>
        </w:rPr>
        <w:t>,</w:t>
      </w:r>
      <w:r w:rsidR="00DF3E2F" w:rsidRPr="00767038">
        <w:rPr>
          <w:lang w:val="pl-PL"/>
        </w:rPr>
        <w:t xml:space="preserve"> </w:t>
      </w:r>
      <w:r w:rsidRPr="00767038">
        <w:rPr>
          <w:lang w:val="pl-PL"/>
        </w:rPr>
        <w:t>zaakceptowanych przez</w:t>
      </w:r>
      <w:r w:rsidR="00DF3E2F"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71514A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2A6034" w:rsidRPr="00767038">
        <w:rPr>
          <w:lang w:val="pl-PL"/>
        </w:rPr>
        <w:t>;</w:t>
      </w:r>
    </w:p>
    <w:p w:rsidR="00ED182F" w:rsidRPr="00767038" w:rsidRDefault="00DF3E2F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767038">
        <w:rPr>
          <w:lang w:val="pl-PL"/>
        </w:rPr>
        <w:t>przy wyborze środka transportu i zakwaterowania należy kierować się zasadą racjonalnego zarządzania finansami</w:t>
      </w:r>
      <w:r w:rsidR="00ED182F" w:rsidRPr="00767038">
        <w:rPr>
          <w:lang w:val="pl-PL"/>
        </w:rPr>
        <w:t>;</w:t>
      </w:r>
    </w:p>
    <w:p w:rsidR="00ED182F" w:rsidRPr="00767038" w:rsidRDefault="00DF3E2F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767038">
        <w:rPr>
          <w:lang w:val="pl-PL"/>
        </w:rPr>
        <w:t xml:space="preserve">w tej pozycji nie </w:t>
      </w:r>
      <w:r w:rsidR="00F62320" w:rsidRPr="00767038">
        <w:rPr>
          <w:lang w:val="pl-PL"/>
        </w:rPr>
        <w:t>uwzględnia</w:t>
      </w:r>
      <w:r w:rsidRPr="00767038">
        <w:rPr>
          <w:lang w:val="pl-PL"/>
        </w:rPr>
        <w:t xml:space="preserve"> się kosztów podróży i zakwaterowania ekspertów zewnętrznych i usługodawców, lecz w ramach kosztów objętych pozostałymi umowami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w celu realizacji projektu</w:t>
      </w:r>
      <w:r w:rsidR="00ED182F" w:rsidRPr="00767038">
        <w:rPr>
          <w:lang w:val="pl-PL"/>
        </w:rPr>
        <w:t>;</w:t>
      </w:r>
    </w:p>
    <w:p w:rsidR="00ED182F" w:rsidRPr="00767038" w:rsidRDefault="00085A0D" w:rsidP="00767038">
      <w:pPr>
        <w:pStyle w:val="Akapitzlist"/>
        <w:numPr>
          <w:ilvl w:val="0"/>
          <w:numId w:val="13"/>
        </w:numPr>
        <w:rPr>
          <w:lang w:val="pl-PL"/>
        </w:rPr>
      </w:pPr>
      <w:r w:rsidRPr="00767038">
        <w:rPr>
          <w:lang w:val="pl-PL"/>
        </w:rPr>
        <w:t xml:space="preserve">należy zachować dowód poniesienia wydatków (np. fakturę z biura podróży, bilety samolotowe, e-bilety, kartę pokładową, paragony za posiłki, listę uczestników, protokół, agendę </w:t>
      </w:r>
      <w:r w:rsidR="00A35E94" w:rsidRPr="00767038">
        <w:rPr>
          <w:lang w:val="pl-PL"/>
        </w:rPr>
        <w:t>itd.). Informacje</w:t>
      </w:r>
      <w:r w:rsidRPr="00767038">
        <w:rPr>
          <w:lang w:val="pl-PL"/>
        </w:rPr>
        <w:t xml:space="preserve"> na temat ryczałtów przedstawiono w sekcji</w:t>
      </w:r>
      <w:r w:rsidR="00ED182F" w:rsidRPr="00767038">
        <w:rPr>
          <w:lang w:val="pl-PL"/>
        </w:rPr>
        <w:t xml:space="preserve"> 3.4.</w:t>
      </w:r>
    </w:p>
    <w:p w:rsidR="00ED182F" w:rsidRPr="00767038" w:rsidRDefault="00DB6B0B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Koszt nowego lub używanego </w:t>
      </w:r>
      <w:r w:rsidR="0071514A" w:rsidRPr="00767038">
        <w:rPr>
          <w:lang w:val="pl-PL"/>
        </w:rPr>
        <w:t>sprzętu</w:t>
      </w:r>
    </w:p>
    <w:p w:rsidR="00ED182F" w:rsidRPr="00767038" w:rsidRDefault="005673AC" w:rsidP="00376576">
      <w:pPr>
        <w:rPr>
          <w:lang w:val="pl-PL"/>
        </w:rPr>
      </w:pPr>
      <w:r w:rsidRPr="00767038">
        <w:rPr>
          <w:lang w:val="pl-PL"/>
        </w:rPr>
        <w:t xml:space="preserve">Amortyzacja </w:t>
      </w:r>
      <w:r w:rsidR="0071514A" w:rsidRPr="00767038">
        <w:rPr>
          <w:lang w:val="pl-PL"/>
        </w:rPr>
        <w:t xml:space="preserve">sprzętu </w:t>
      </w:r>
      <w:r w:rsidRPr="00767038">
        <w:rPr>
          <w:lang w:val="pl-PL"/>
        </w:rPr>
        <w:t xml:space="preserve">(nowego lub używanego), którą ujęto w dokumentach księgowych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i/lub partnera lub partnerów projektu, jest kosztem kwalifikowalnym, o ile aktyw</w:t>
      </w:r>
      <w:r w:rsidR="00D44167">
        <w:rPr>
          <w:lang w:val="pl-PL"/>
        </w:rPr>
        <w:t>a</w:t>
      </w:r>
      <w:r w:rsidRPr="00767038">
        <w:rPr>
          <w:lang w:val="pl-PL"/>
        </w:rPr>
        <w:t xml:space="preserve"> został</w:t>
      </w:r>
      <w:r w:rsidR="00D44167">
        <w:rPr>
          <w:lang w:val="pl-PL"/>
        </w:rPr>
        <w:t>y</w:t>
      </w:r>
      <w:r w:rsidRPr="00767038">
        <w:rPr>
          <w:lang w:val="pl-PL"/>
        </w:rPr>
        <w:t xml:space="preserve"> nabyte zgodnie z odpowiednimi warunkami </w:t>
      </w:r>
      <w:r w:rsidR="0071514A" w:rsidRPr="00767038">
        <w:rPr>
          <w:lang w:val="pl-PL"/>
        </w:rPr>
        <w:t>U</w:t>
      </w:r>
      <w:r w:rsidRPr="00767038">
        <w:rPr>
          <w:lang w:val="pl-PL"/>
        </w:rPr>
        <w:t xml:space="preserve">mowy w sprawie projektu i było amortyzowane zgodnie z Międzynarodowymi Standardami Rachunkowości i </w:t>
      </w:r>
      <w:r w:rsidR="00A35E94" w:rsidRPr="00767038">
        <w:rPr>
          <w:lang w:val="pl-PL"/>
        </w:rPr>
        <w:t>standardowymi</w:t>
      </w:r>
      <w:r w:rsidR="0071514A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zasadami rachunkowości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i/lub partnera projektu</w:t>
      </w:r>
      <w:r w:rsidR="00ED182F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Na potrzeby projektu za </w:t>
      </w:r>
      <w:r w:rsidR="00652AB7" w:rsidRPr="00767038">
        <w:rPr>
          <w:lang w:val="pl-PL"/>
        </w:rPr>
        <w:t xml:space="preserve">wydatek </w:t>
      </w:r>
      <w:r w:rsidRPr="00767038">
        <w:rPr>
          <w:lang w:val="pl-PL"/>
        </w:rPr>
        <w:t xml:space="preserve">kwalifikowalny można uznać wyłącznie tę część amortyzacji, która odpowiada </w:t>
      </w:r>
      <w:r w:rsidR="00652AB7" w:rsidRPr="00767038">
        <w:rPr>
          <w:lang w:val="pl-PL"/>
        </w:rPr>
        <w:t>czasowi trwania</w:t>
      </w:r>
      <w:r w:rsidRPr="00767038">
        <w:rPr>
          <w:lang w:val="pl-PL"/>
        </w:rPr>
        <w:t xml:space="preserve"> projektu </w:t>
      </w:r>
      <w:r w:rsidR="00652AB7" w:rsidRPr="00767038">
        <w:rPr>
          <w:lang w:val="pl-PL"/>
        </w:rPr>
        <w:t>oraz stopniowi faktycznego</w:t>
      </w:r>
      <w:r w:rsidRPr="00767038">
        <w:rPr>
          <w:lang w:val="pl-PL"/>
        </w:rPr>
        <w:t xml:space="preserve"> </w:t>
      </w:r>
      <w:r w:rsidR="00652AB7" w:rsidRPr="00767038">
        <w:rPr>
          <w:lang w:val="pl-PL"/>
        </w:rPr>
        <w:t>wykorzystania tego sprzętu.</w:t>
      </w:r>
    </w:p>
    <w:p w:rsidR="00ED182F" w:rsidRPr="00767038" w:rsidRDefault="005673AC" w:rsidP="00376576">
      <w:pPr>
        <w:rPr>
          <w:lang w:val="pl-PL"/>
        </w:rPr>
      </w:pPr>
      <w:r w:rsidRPr="00767038">
        <w:rPr>
          <w:lang w:val="pl-PL"/>
        </w:rPr>
        <w:t xml:space="preserve">Jeżeli </w:t>
      </w:r>
      <w:r w:rsidR="00652AB7" w:rsidRPr="00767038">
        <w:rPr>
          <w:lang w:val="pl-PL"/>
        </w:rPr>
        <w:t>sprzęt</w:t>
      </w:r>
      <w:r w:rsidRPr="00767038">
        <w:rPr>
          <w:lang w:val="pl-PL"/>
        </w:rPr>
        <w:t xml:space="preserve"> (now</w:t>
      </w:r>
      <w:r w:rsidR="00652AB7" w:rsidRPr="00767038">
        <w:rPr>
          <w:lang w:val="pl-PL"/>
        </w:rPr>
        <w:t>y</w:t>
      </w:r>
      <w:r w:rsidRPr="00767038">
        <w:rPr>
          <w:lang w:val="pl-PL"/>
        </w:rPr>
        <w:t xml:space="preserve"> lub używan</w:t>
      </w:r>
      <w:r w:rsidR="00652AB7" w:rsidRPr="00767038">
        <w:rPr>
          <w:lang w:val="pl-PL"/>
        </w:rPr>
        <w:t>y</w:t>
      </w:r>
      <w:r w:rsidRPr="00767038">
        <w:rPr>
          <w:lang w:val="pl-PL"/>
        </w:rPr>
        <w:t>) nie został jeszcze w pełni umorzon</w:t>
      </w:r>
      <w:r w:rsidR="00652AB7" w:rsidRPr="00767038">
        <w:rPr>
          <w:lang w:val="pl-PL"/>
        </w:rPr>
        <w:t>y</w:t>
      </w:r>
      <w:r w:rsidRPr="00767038">
        <w:rPr>
          <w:lang w:val="pl-PL"/>
        </w:rPr>
        <w:t>, pozostała część amortyzacji (we</w:t>
      </w:r>
      <w:r w:rsidR="00895BF3" w:rsidRPr="00767038">
        <w:rPr>
          <w:lang w:val="pl-PL"/>
        </w:rPr>
        <w:t>dług wielkości zużycia wyrażon</w:t>
      </w:r>
      <w:r w:rsidR="00E91708">
        <w:rPr>
          <w:lang w:val="pl-PL"/>
        </w:rPr>
        <w:t>a</w:t>
      </w:r>
      <w:r w:rsidR="00895BF3" w:rsidRPr="00767038">
        <w:rPr>
          <w:lang w:val="pl-PL"/>
        </w:rPr>
        <w:t xml:space="preserve"> </w:t>
      </w:r>
      <w:r w:rsidRPr="00767038">
        <w:rPr>
          <w:lang w:val="pl-PL"/>
        </w:rPr>
        <w:t>jako procent lub czas) może stanowić koszt kwalifikowalny w ramach projektu</w:t>
      </w:r>
      <w:r w:rsidR="00ED182F" w:rsidRPr="00767038">
        <w:rPr>
          <w:lang w:val="pl-PL"/>
        </w:rPr>
        <w:t>.</w:t>
      </w:r>
    </w:p>
    <w:p w:rsidR="00ED182F" w:rsidRPr="00767038" w:rsidRDefault="00FB2938" w:rsidP="00376576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6480562" wp14:editId="34034E61">
                <wp:simplePos x="0" y="0"/>
                <wp:positionH relativeFrom="column">
                  <wp:posOffset>9525</wp:posOffset>
                </wp:positionH>
                <wp:positionV relativeFrom="paragraph">
                  <wp:posOffset>638175</wp:posOffset>
                </wp:positionV>
                <wp:extent cx="5695950" cy="1142365"/>
                <wp:effectExtent l="0" t="0" r="19050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42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0F2E1C">
                            <w:pPr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Przykład:</w:t>
                            </w:r>
                          </w:p>
                          <w:p w:rsidR="00C522D7" w:rsidRPr="00265F1A" w:rsidRDefault="00C522D7" w:rsidP="000F2E1C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eneficjent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 posiada składnik wyposażenia, który amortyzuje się przez pięć lat i którego używał już przez dwa lata w chwili rozpoczęcia projektu. Przy założeniu pełnego (100%) wykorzystania wyposażenia na potrzeby projektu, ostatnie trzy lata okresu ekonomicznego użytkowania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 xml:space="preserve">sprzętu 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>stanowi koszt kwalifikowalny w ramach projektu (przy założeniu kontynuacji projektu przez te trzy lata).</w:t>
                            </w:r>
                          </w:p>
                          <w:p w:rsidR="00C522D7" w:rsidRPr="00265F1A" w:rsidRDefault="00C522D7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75pt;margin-top:50.25pt;width:448.5pt;height:89.9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" fillcolor="white [3212]" strokecolor="black [3213]">
                <v:textbox>
                  <w:txbxContent>
                    <w:p w:rsidR="00C522D7" w:rsidRPr="00265F1A" w:rsidRDefault="00C522D7" w:rsidP="000F2E1C">
                      <w:pPr>
                        <w:rPr>
                          <w:b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>Przykład:</w:t>
                      </w:r>
                    </w:p>
                    <w:p w:rsidR="00C522D7" w:rsidRPr="00265F1A" w:rsidRDefault="00C522D7" w:rsidP="000F2E1C">
                      <w:pPr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>B</w:t>
                      </w:r>
                      <w:r>
                        <w:rPr>
                          <w:sz w:val="18"/>
                          <w:lang w:val="pl-PL"/>
                        </w:rPr>
                        <w:t>eneficjent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 posiada składnik wyposażenia, który amortyzuje się przez pięć lat i którego używał już przez dwa lata w chwili rozpoczęcia projektu. Przy założeniu pełnego (100%) wykorzystania wyposażenia na potrzeby projektu, ostatnie trzy lata okresu ekonomicznego użytkowania </w:t>
                      </w:r>
                      <w:r>
                        <w:rPr>
                          <w:sz w:val="18"/>
                          <w:lang w:val="pl-PL"/>
                        </w:rPr>
                        <w:t xml:space="preserve">sprzętu </w:t>
                      </w:r>
                      <w:r w:rsidRPr="00265F1A">
                        <w:rPr>
                          <w:sz w:val="18"/>
                          <w:lang w:val="pl-PL"/>
                        </w:rPr>
                        <w:t>stanowi koszt kwalifikowalny w ramach projektu (przy założeniu kontynuacji projektu przez te trzy lata).</w:t>
                      </w:r>
                    </w:p>
                    <w:p w:rsidR="00C522D7" w:rsidRPr="00265F1A" w:rsidRDefault="00C522D7">
                      <w:pPr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3AC" w:rsidRPr="00767038">
        <w:rPr>
          <w:lang w:val="pl-PL"/>
        </w:rPr>
        <w:t xml:space="preserve">Jeżeli </w:t>
      </w:r>
      <w:r w:rsidR="00315981" w:rsidRPr="00767038">
        <w:rPr>
          <w:lang w:val="pl-PL"/>
        </w:rPr>
        <w:t>Operator Programu</w:t>
      </w:r>
      <w:r w:rsidR="005673AC" w:rsidRPr="00767038">
        <w:rPr>
          <w:lang w:val="pl-PL"/>
        </w:rPr>
        <w:t xml:space="preserve"> zdecyduje, że </w:t>
      </w:r>
      <w:r w:rsidR="00652AB7" w:rsidRPr="00767038">
        <w:rPr>
          <w:lang w:val="pl-PL"/>
        </w:rPr>
        <w:t xml:space="preserve">sprzęt </w:t>
      </w:r>
      <w:r w:rsidR="005673AC" w:rsidRPr="00767038">
        <w:rPr>
          <w:lang w:val="pl-PL"/>
        </w:rPr>
        <w:t xml:space="preserve">stanowi integralny i niezbędny element w celu osiągnięcia </w:t>
      </w:r>
      <w:r w:rsidR="00652AB7" w:rsidRPr="00767038">
        <w:rPr>
          <w:lang w:val="pl-PL"/>
        </w:rPr>
        <w:t xml:space="preserve">rezultatów </w:t>
      </w:r>
      <w:r w:rsidR="005673AC" w:rsidRPr="00767038">
        <w:rPr>
          <w:lang w:val="pl-PL"/>
        </w:rPr>
        <w:t xml:space="preserve">projektu, całkowita cena </w:t>
      </w:r>
      <w:r w:rsidR="00652AB7" w:rsidRPr="00767038">
        <w:rPr>
          <w:lang w:val="pl-PL"/>
        </w:rPr>
        <w:t xml:space="preserve">zakupu </w:t>
      </w:r>
      <w:r w:rsidR="005673AC" w:rsidRPr="00767038">
        <w:rPr>
          <w:lang w:val="pl-PL"/>
        </w:rPr>
        <w:t xml:space="preserve">takiego </w:t>
      </w:r>
      <w:r w:rsidR="00652AB7" w:rsidRPr="00767038">
        <w:rPr>
          <w:lang w:val="pl-PL"/>
        </w:rPr>
        <w:t xml:space="preserve">sprzętu </w:t>
      </w:r>
      <w:r w:rsidR="005673AC" w:rsidRPr="00767038">
        <w:rPr>
          <w:lang w:val="pl-PL"/>
        </w:rPr>
        <w:t>może być kosztem kwalifikowalnym</w:t>
      </w:r>
      <w:r w:rsidR="00F34088" w:rsidRPr="00767038">
        <w:rPr>
          <w:lang w:val="pl-PL"/>
        </w:rPr>
        <w:t>.</w:t>
      </w:r>
      <w:r w:rsidR="005673AC" w:rsidRPr="00767038">
        <w:rPr>
          <w:lang w:val="pl-PL"/>
        </w:rPr>
        <w:t xml:space="preserve"> Stosuje się następujące warunki </w:t>
      </w:r>
      <w:r w:rsidR="00F34088" w:rsidRPr="00767038">
        <w:rPr>
          <w:lang w:val="pl-PL"/>
        </w:rPr>
        <w:t>(</w:t>
      </w:r>
      <w:r w:rsidR="005673AC" w:rsidRPr="00767038">
        <w:rPr>
          <w:lang w:val="pl-PL"/>
        </w:rPr>
        <w:t>a</w:t>
      </w:r>
      <w:r w:rsidR="00F34088" w:rsidRPr="00767038">
        <w:rPr>
          <w:lang w:val="pl-PL"/>
        </w:rPr>
        <w:t>rt. 8.3.2</w:t>
      </w:r>
      <w:r w:rsidR="005673AC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F34088" w:rsidRPr="00767038">
        <w:rPr>
          <w:lang w:val="pl-PL"/>
        </w:rPr>
        <w:t>):</w:t>
      </w:r>
    </w:p>
    <w:p w:rsidR="00211FCD" w:rsidRPr="00767038" w:rsidRDefault="00315981" w:rsidP="00376576">
      <w:pPr>
        <w:rPr>
          <w:lang w:val="pl-PL"/>
        </w:rPr>
      </w:pPr>
      <w:r w:rsidRPr="00767038">
        <w:rPr>
          <w:lang w:val="pl-PL"/>
        </w:rPr>
        <w:lastRenderedPageBreak/>
        <w:t>Operator Programu</w:t>
      </w:r>
      <w:r w:rsidR="005673AC" w:rsidRPr="00767038">
        <w:rPr>
          <w:lang w:val="pl-PL"/>
        </w:rPr>
        <w:t xml:space="preserve"> zapewni, że </w:t>
      </w:r>
      <w:r w:rsidR="00AC25C8" w:rsidRPr="00767038">
        <w:rPr>
          <w:lang w:val="pl-PL"/>
        </w:rPr>
        <w:t>beneficjent</w:t>
      </w:r>
      <w:r w:rsidR="005673AC" w:rsidRPr="00767038">
        <w:rPr>
          <w:lang w:val="pl-PL"/>
        </w:rPr>
        <w:t>:</w:t>
      </w:r>
    </w:p>
    <w:p w:rsidR="00ED182F" w:rsidRPr="00767038" w:rsidRDefault="00652AB7" w:rsidP="00767038">
      <w:pPr>
        <w:pStyle w:val="Akapitzlist"/>
        <w:numPr>
          <w:ilvl w:val="0"/>
          <w:numId w:val="14"/>
        </w:numPr>
        <w:rPr>
          <w:lang w:val="pl-PL"/>
        </w:rPr>
      </w:pPr>
      <w:r w:rsidRPr="00767038">
        <w:rPr>
          <w:lang w:val="pl-PL"/>
        </w:rPr>
        <w:t xml:space="preserve">pozostał właścicielem </w:t>
      </w:r>
      <w:r w:rsidR="00A35E94" w:rsidRPr="00767038">
        <w:rPr>
          <w:lang w:val="pl-PL"/>
        </w:rPr>
        <w:t>sprzętu</w:t>
      </w:r>
      <w:r w:rsidR="005673AC" w:rsidRPr="00767038">
        <w:rPr>
          <w:lang w:val="pl-PL"/>
        </w:rPr>
        <w:t xml:space="preserve"> przez okres co najmniej pięciu lat po zakończeniu projektu i </w:t>
      </w:r>
      <w:r w:rsidRPr="00767038">
        <w:rPr>
          <w:lang w:val="pl-PL"/>
        </w:rPr>
        <w:t xml:space="preserve">nadal </w:t>
      </w:r>
      <w:r w:rsidR="005673AC" w:rsidRPr="00767038">
        <w:rPr>
          <w:lang w:val="pl-PL"/>
        </w:rPr>
        <w:t xml:space="preserve">będzie </w:t>
      </w:r>
      <w:r w:rsidRPr="00767038">
        <w:rPr>
          <w:lang w:val="pl-PL"/>
        </w:rPr>
        <w:t xml:space="preserve">korzystał z tego sprzętu w </w:t>
      </w:r>
      <w:r w:rsidR="00A35E94" w:rsidRPr="00767038">
        <w:rPr>
          <w:lang w:val="pl-PL"/>
        </w:rPr>
        <w:t>celu realizacji</w:t>
      </w:r>
      <w:r w:rsidR="005673AC" w:rsidRPr="00767038">
        <w:rPr>
          <w:lang w:val="pl-PL"/>
        </w:rPr>
        <w:t xml:space="preserve"> ogólnych celów projektu przez ten sam okres</w:t>
      </w:r>
      <w:r w:rsidR="00211FCD" w:rsidRPr="00767038">
        <w:rPr>
          <w:lang w:val="pl-PL"/>
        </w:rPr>
        <w:t>;</w:t>
      </w:r>
    </w:p>
    <w:p w:rsidR="00ED182F" w:rsidRPr="00767038" w:rsidRDefault="00652AB7" w:rsidP="00767038">
      <w:pPr>
        <w:pStyle w:val="Akapitzlist"/>
        <w:numPr>
          <w:ilvl w:val="0"/>
          <w:numId w:val="14"/>
        </w:numPr>
        <w:rPr>
          <w:lang w:val="pl-PL"/>
        </w:rPr>
      </w:pPr>
      <w:r w:rsidRPr="00767038">
        <w:rPr>
          <w:lang w:val="pl-PL"/>
        </w:rPr>
        <w:t xml:space="preserve">odpowiednio </w:t>
      </w:r>
      <w:r w:rsidR="00A35E94" w:rsidRPr="00767038">
        <w:rPr>
          <w:lang w:val="pl-PL"/>
        </w:rPr>
        <w:t>ubezpieczył</w:t>
      </w:r>
      <w:r w:rsidR="00895BF3" w:rsidRPr="00767038">
        <w:rPr>
          <w:lang w:val="pl-PL"/>
        </w:rPr>
        <w:t xml:space="preserve"> </w:t>
      </w:r>
      <w:r w:rsidR="00A35E94" w:rsidRPr="00767038">
        <w:rPr>
          <w:lang w:val="pl-PL"/>
        </w:rPr>
        <w:t>sprzęt</w:t>
      </w:r>
      <w:r w:rsidRPr="00767038">
        <w:rPr>
          <w:lang w:val="pl-PL"/>
        </w:rPr>
        <w:t xml:space="preserve"> na wypadek straty, takiej</w:t>
      </w:r>
      <w:r w:rsidR="005673AC" w:rsidRPr="00767038">
        <w:rPr>
          <w:lang w:val="pl-PL"/>
        </w:rPr>
        <w:t xml:space="preserve"> jak pożar, kradzież </w:t>
      </w:r>
      <w:r w:rsidRPr="00767038">
        <w:rPr>
          <w:lang w:val="pl-PL"/>
        </w:rPr>
        <w:t>czy inne</w:t>
      </w:r>
      <w:r w:rsidR="005673AC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wypadki zwykle </w:t>
      </w:r>
      <w:r w:rsidR="005673AC" w:rsidRPr="00767038">
        <w:rPr>
          <w:lang w:val="pl-PL"/>
        </w:rPr>
        <w:t>podlegające ubezpieczeniu</w:t>
      </w:r>
      <w:r w:rsidRPr="00767038">
        <w:rPr>
          <w:lang w:val="pl-PL"/>
        </w:rPr>
        <w:t>,</w:t>
      </w:r>
      <w:r w:rsidR="005673AC" w:rsidRPr="00767038">
        <w:rPr>
          <w:lang w:val="pl-PL"/>
        </w:rPr>
        <w:t xml:space="preserve"> zarówno </w:t>
      </w:r>
      <w:r w:rsidRPr="00767038">
        <w:rPr>
          <w:lang w:val="pl-PL"/>
        </w:rPr>
        <w:t>w</w:t>
      </w:r>
      <w:r w:rsidR="005673AC" w:rsidRPr="00767038">
        <w:rPr>
          <w:lang w:val="pl-PL"/>
        </w:rPr>
        <w:t xml:space="preserve"> czas</w:t>
      </w:r>
      <w:r w:rsidRPr="00767038">
        <w:rPr>
          <w:lang w:val="pl-PL"/>
        </w:rPr>
        <w:t>ie</w:t>
      </w:r>
      <w:r w:rsidR="005673AC" w:rsidRPr="00767038">
        <w:rPr>
          <w:lang w:val="pl-PL"/>
        </w:rPr>
        <w:t xml:space="preserve"> realizacji projektu, jak i </w:t>
      </w:r>
      <w:r w:rsidRPr="00767038">
        <w:rPr>
          <w:lang w:val="pl-PL"/>
        </w:rPr>
        <w:t xml:space="preserve">przez </w:t>
      </w:r>
      <w:r w:rsidR="005673AC" w:rsidRPr="00767038">
        <w:rPr>
          <w:lang w:val="pl-PL"/>
        </w:rPr>
        <w:t xml:space="preserve">co najmniej pięć lat </w:t>
      </w:r>
      <w:r w:rsidRPr="00767038">
        <w:rPr>
          <w:lang w:val="pl-PL"/>
        </w:rPr>
        <w:t>po jego zakończeniu</w:t>
      </w:r>
      <w:r w:rsidR="00211FCD" w:rsidRPr="00767038">
        <w:rPr>
          <w:lang w:val="pl-PL"/>
        </w:rPr>
        <w:t>;</w:t>
      </w:r>
    </w:p>
    <w:p w:rsidR="00ED182F" w:rsidRPr="00767038" w:rsidRDefault="005673AC" w:rsidP="00767038">
      <w:pPr>
        <w:pStyle w:val="Akapitzlist"/>
        <w:numPr>
          <w:ilvl w:val="0"/>
          <w:numId w:val="14"/>
        </w:numPr>
        <w:rPr>
          <w:lang w:val="pl-PL"/>
        </w:rPr>
      </w:pPr>
      <w:r w:rsidRPr="00767038">
        <w:rPr>
          <w:lang w:val="pl-PL"/>
        </w:rPr>
        <w:t xml:space="preserve">przez co najmniej pięć lat </w:t>
      </w:r>
      <w:r w:rsidR="003A5418" w:rsidRPr="00767038">
        <w:rPr>
          <w:lang w:val="pl-PL"/>
        </w:rPr>
        <w:t>po</w:t>
      </w:r>
      <w:r w:rsidRPr="00767038">
        <w:rPr>
          <w:lang w:val="pl-PL"/>
        </w:rPr>
        <w:t xml:space="preserve"> zakończeni</w:t>
      </w:r>
      <w:r w:rsidR="003A5418" w:rsidRPr="00767038">
        <w:rPr>
          <w:lang w:val="pl-PL"/>
        </w:rPr>
        <w:t>u</w:t>
      </w:r>
      <w:r w:rsidRPr="00767038">
        <w:rPr>
          <w:lang w:val="pl-PL"/>
        </w:rPr>
        <w:t xml:space="preserve"> projektu</w:t>
      </w:r>
      <w:r w:rsidR="003A5418" w:rsidRPr="00767038">
        <w:rPr>
          <w:lang w:val="pl-PL"/>
        </w:rPr>
        <w:t xml:space="preserve"> </w:t>
      </w:r>
      <w:r w:rsidR="00887EAF">
        <w:rPr>
          <w:lang w:val="pl-PL"/>
        </w:rPr>
        <w:t>b</w:t>
      </w:r>
      <w:r w:rsidR="003A5418" w:rsidRPr="00767038">
        <w:rPr>
          <w:lang w:val="pl-PL"/>
        </w:rPr>
        <w:t xml:space="preserve">ędzie </w:t>
      </w:r>
      <w:r w:rsidR="00A35E94" w:rsidRPr="00767038">
        <w:rPr>
          <w:lang w:val="pl-PL"/>
        </w:rPr>
        <w:t>przeznaczał</w:t>
      </w:r>
      <w:r w:rsidR="003A5418" w:rsidRPr="00767038">
        <w:rPr>
          <w:lang w:val="pl-PL"/>
        </w:rPr>
        <w:t xml:space="preserve"> odpowiednie środki na utrzymanie sprzętu.</w:t>
      </w:r>
    </w:p>
    <w:p w:rsidR="00652AB7" w:rsidRPr="00767038" w:rsidRDefault="005673AC" w:rsidP="00376576">
      <w:pPr>
        <w:rPr>
          <w:lang w:val="pl-PL"/>
        </w:rPr>
      </w:pPr>
      <w:r w:rsidRPr="00767038">
        <w:rPr>
          <w:lang w:val="pl-PL"/>
        </w:rPr>
        <w:t xml:space="preserve">W umowie w sprawie projektu </w:t>
      </w:r>
      <w:r w:rsidR="00CF449E">
        <w:rPr>
          <w:lang w:val="pl-PL"/>
        </w:rPr>
        <w:t>zostaną wskazane</w:t>
      </w:r>
      <w:r w:rsidR="003A5418" w:rsidRPr="00767038">
        <w:rPr>
          <w:lang w:val="pl-PL"/>
        </w:rPr>
        <w:t xml:space="preserve"> konkretne sposoby wywiązywania się z tych</w:t>
      </w:r>
      <w:r w:rsidRPr="00767038">
        <w:rPr>
          <w:lang w:val="pl-PL"/>
        </w:rPr>
        <w:t xml:space="preserve"> zobowiąza</w:t>
      </w:r>
      <w:r w:rsidR="003A5418" w:rsidRPr="00767038">
        <w:rPr>
          <w:lang w:val="pl-PL"/>
        </w:rPr>
        <w:t>ń</w:t>
      </w:r>
      <w:r w:rsidR="00211FCD" w:rsidRPr="00767038">
        <w:rPr>
          <w:lang w:val="pl-PL"/>
        </w:rPr>
        <w:t xml:space="preserve">. </w:t>
      </w:r>
      <w:r w:rsidR="00F62320" w:rsidRPr="00767038">
        <w:rPr>
          <w:lang w:val="pl-PL"/>
        </w:rPr>
        <w:t xml:space="preserve">Jeżeli </w:t>
      </w:r>
      <w:r w:rsidR="003A5418" w:rsidRPr="00767038">
        <w:rPr>
          <w:lang w:val="pl-PL"/>
        </w:rPr>
        <w:t>sprzęt</w:t>
      </w:r>
      <w:r w:rsidR="00F62320" w:rsidRPr="00767038">
        <w:rPr>
          <w:lang w:val="pl-PL"/>
        </w:rPr>
        <w:t xml:space="preserve">, którego całkowitą cenę nabycia uznaje się za koszt kwalifikowalny, znajduje się w posiadaniu partnera projektu, </w:t>
      </w:r>
      <w:r w:rsidR="003A5418" w:rsidRPr="00767038">
        <w:rPr>
          <w:lang w:val="pl-PL"/>
        </w:rPr>
        <w:t xml:space="preserve">to </w:t>
      </w:r>
      <w:r w:rsidR="00F62320" w:rsidRPr="00767038">
        <w:rPr>
          <w:lang w:val="pl-PL"/>
        </w:rPr>
        <w:t>partner projektu powinien spełnić powyższe warunki</w:t>
      </w:r>
      <w:r w:rsidR="00211FCD" w:rsidRPr="00767038">
        <w:rPr>
          <w:lang w:val="pl-PL"/>
        </w:rPr>
        <w:t>.</w:t>
      </w:r>
      <w:r w:rsidR="00F62320"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 Programu</w:t>
      </w:r>
      <w:r w:rsidR="00F62320" w:rsidRPr="00767038">
        <w:rPr>
          <w:lang w:val="pl-PL"/>
        </w:rPr>
        <w:t xml:space="preserve"> może zwolnić </w:t>
      </w:r>
      <w:r w:rsidR="00AC25C8" w:rsidRPr="00767038">
        <w:rPr>
          <w:lang w:val="pl-PL"/>
        </w:rPr>
        <w:t>beneficjenta</w:t>
      </w:r>
      <w:r w:rsidR="00F62320" w:rsidRPr="00767038">
        <w:rPr>
          <w:lang w:val="pl-PL"/>
        </w:rPr>
        <w:t xml:space="preserve"> z </w:t>
      </w:r>
      <w:r w:rsidR="003A5418" w:rsidRPr="00767038">
        <w:rPr>
          <w:lang w:val="pl-PL"/>
        </w:rPr>
        <w:t>wywiązywania się z tych zobowiązań</w:t>
      </w:r>
      <w:r w:rsidR="00F62320" w:rsidRPr="00767038">
        <w:rPr>
          <w:lang w:val="pl-PL"/>
        </w:rPr>
        <w:t xml:space="preserve"> w odniesieniu do </w:t>
      </w:r>
      <w:r w:rsidR="003A5418" w:rsidRPr="00767038">
        <w:rPr>
          <w:lang w:val="pl-PL"/>
        </w:rPr>
        <w:t>jakiegokolwiek wyraźnie wskazanego</w:t>
      </w:r>
      <w:r w:rsidR="00F62320" w:rsidRPr="00767038">
        <w:rPr>
          <w:lang w:val="pl-PL"/>
        </w:rPr>
        <w:t xml:space="preserve">, </w:t>
      </w:r>
      <w:r w:rsidR="003A5418" w:rsidRPr="00767038">
        <w:rPr>
          <w:lang w:val="pl-PL"/>
        </w:rPr>
        <w:t>w przypadku gdy</w:t>
      </w:r>
      <w:r w:rsidR="00F62320"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 Programu</w:t>
      </w:r>
      <w:r w:rsidR="00F62320" w:rsidRPr="00767038">
        <w:rPr>
          <w:lang w:val="pl-PL"/>
        </w:rPr>
        <w:t xml:space="preserve"> </w:t>
      </w:r>
      <w:r w:rsidR="003A5418" w:rsidRPr="00767038">
        <w:rPr>
          <w:lang w:val="pl-PL"/>
        </w:rPr>
        <w:t xml:space="preserve">– uwzględniając wszystkie istotne okoliczności – uzna, że </w:t>
      </w:r>
      <w:r w:rsidR="00F62320" w:rsidRPr="00767038">
        <w:rPr>
          <w:lang w:val="pl-PL"/>
        </w:rPr>
        <w:t xml:space="preserve">ciągłe korzystanie </w:t>
      </w:r>
      <w:r w:rsidR="003A5418" w:rsidRPr="00767038">
        <w:rPr>
          <w:lang w:val="pl-PL"/>
        </w:rPr>
        <w:t>z tego sprzętu</w:t>
      </w:r>
      <w:r w:rsidR="00F62320" w:rsidRPr="00767038">
        <w:rPr>
          <w:lang w:val="pl-PL"/>
        </w:rPr>
        <w:t xml:space="preserve"> </w:t>
      </w:r>
      <w:r w:rsidR="003A5418" w:rsidRPr="00767038">
        <w:rPr>
          <w:lang w:val="pl-PL"/>
        </w:rPr>
        <w:t>na potrzeby realizacji</w:t>
      </w:r>
      <w:r w:rsidR="00F62320" w:rsidRPr="00767038">
        <w:rPr>
          <w:lang w:val="pl-PL"/>
        </w:rPr>
        <w:t xml:space="preserve"> celów </w:t>
      </w:r>
      <w:r w:rsidR="003A5418" w:rsidRPr="00767038">
        <w:rPr>
          <w:lang w:val="pl-PL"/>
        </w:rPr>
        <w:t xml:space="preserve">ogólnych </w:t>
      </w:r>
      <w:r w:rsidR="00F62320" w:rsidRPr="00767038">
        <w:rPr>
          <w:lang w:val="pl-PL"/>
        </w:rPr>
        <w:t xml:space="preserve">projektu nie </w:t>
      </w:r>
      <w:r w:rsidR="003A5418" w:rsidRPr="00767038">
        <w:rPr>
          <w:lang w:val="pl-PL"/>
        </w:rPr>
        <w:t>miałoby żadnego ekonomicznego uzasadnienia</w:t>
      </w:r>
      <w:r w:rsidR="00F62320" w:rsidRPr="00767038">
        <w:rPr>
          <w:lang w:val="pl-PL"/>
        </w:rPr>
        <w:t xml:space="preserve"> </w:t>
      </w:r>
      <w:r w:rsidR="00211FCD" w:rsidRPr="00767038">
        <w:rPr>
          <w:lang w:val="pl-PL"/>
        </w:rPr>
        <w:t>(</w:t>
      </w:r>
      <w:r w:rsidR="00F62320" w:rsidRPr="00767038">
        <w:rPr>
          <w:lang w:val="pl-PL"/>
        </w:rPr>
        <w:t>a</w:t>
      </w:r>
      <w:r w:rsidR="00211FCD" w:rsidRPr="00767038">
        <w:rPr>
          <w:lang w:val="pl-PL"/>
        </w:rPr>
        <w:t>rt. 8.3.2</w:t>
      </w:r>
      <w:r w:rsidR="00F62320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211FCD" w:rsidRPr="00767038">
        <w:rPr>
          <w:lang w:val="pl-PL"/>
        </w:rPr>
        <w:t>).</w:t>
      </w:r>
    </w:p>
    <w:p w:rsidR="00D44E14" w:rsidRPr="00767038" w:rsidRDefault="00F62320" w:rsidP="00C27B08">
      <w:pPr>
        <w:pStyle w:val="Nagwek3"/>
        <w:rPr>
          <w:lang w:val="pl-PL"/>
        </w:rPr>
      </w:pPr>
      <w:r w:rsidRPr="00767038">
        <w:rPr>
          <w:lang w:val="pl-PL"/>
        </w:rPr>
        <w:t>Nabycie gruntów i nieruchomości</w:t>
      </w:r>
    </w:p>
    <w:p w:rsidR="00D44E14" w:rsidRPr="00767038" w:rsidRDefault="00011E1E" w:rsidP="00D44E14">
      <w:pPr>
        <w:rPr>
          <w:lang w:val="pl-PL"/>
        </w:rPr>
      </w:pPr>
      <w:r w:rsidRPr="00767038">
        <w:rPr>
          <w:lang w:val="pl-PL"/>
        </w:rPr>
        <w:t xml:space="preserve">Zakup </w:t>
      </w:r>
      <w:r w:rsidR="00F62320" w:rsidRPr="00767038">
        <w:rPr>
          <w:lang w:val="pl-PL"/>
        </w:rPr>
        <w:t>niezabudowanych gruntów i nieruchomości stanowi koszt kwalifikowalny, jeżeli jest zgodn</w:t>
      </w:r>
      <w:r w:rsidRPr="00767038">
        <w:rPr>
          <w:lang w:val="pl-PL"/>
        </w:rPr>
        <w:t>y</w:t>
      </w:r>
      <w:r w:rsidR="00F62320" w:rsidRPr="00767038">
        <w:rPr>
          <w:lang w:val="pl-PL"/>
        </w:rPr>
        <w:t xml:space="preserve"> z warunkami określonymi w art. </w:t>
      </w:r>
      <w:r w:rsidR="00D44E14" w:rsidRPr="00767038">
        <w:rPr>
          <w:lang w:val="pl-PL"/>
        </w:rPr>
        <w:t>8.6</w:t>
      </w:r>
      <w:r w:rsidR="00F62320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D44E14" w:rsidRPr="00767038">
        <w:rPr>
          <w:lang w:val="pl-PL"/>
        </w:rPr>
        <w:t>:</w:t>
      </w:r>
    </w:p>
    <w:p w:rsidR="00D44E14" w:rsidRPr="00767038" w:rsidRDefault="00F62320" w:rsidP="00767038">
      <w:pPr>
        <w:pStyle w:val="Akapitzlist"/>
        <w:numPr>
          <w:ilvl w:val="0"/>
          <w:numId w:val="26"/>
        </w:numPr>
        <w:rPr>
          <w:lang w:val="pl-PL"/>
        </w:rPr>
      </w:pPr>
      <w:r w:rsidRPr="00767038">
        <w:rPr>
          <w:lang w:val="pl-PL"/>
        </w:rPr>
        <w:t xml:space="preserve">istnieje bezpośredni związek między </w:t>
      </w:r>
      <w:r w:rsidR="00233A82" w:rsidRPr="00767038">
        <w:rPr>
          <w:lang w:val="pl-PL"/>
        </w:rPr>
        <w:t xml:space="preserve">nabyciem </w:t>
      </w:r>
      <w:r w:rsidR="00011E1E" w:rsidRPr="00767038">
        <w:rPr>
          <w:lang w:val="pl-PL"/>
        </w:rPr>
        <w:t>nieruchomości a</w:t>
      </w:r>
      <w:r w:rsidR="00233A82" w:rsidRPr="00767038">
        <w:rPr>
          <w:lang w:val="pl-PL"/>
        </w:rPr>
        <w:t xml:space="preserve"> celami projektu</w:t>
      </w:r>
      <w:r w:rsidR="00DF022D" w:rsidRPr="00767038">
        <w:rPr>
          <w:lang w:val="pl-PL"/>
        </w:rPr>
        <w:t xml:space="preserve">; </w:t>
      </w:r>
    </w:p>
    <w:p w:rsidR="00D44E14" w:rsidRPr="00767038" w:rsidRDefault="00011E1E" w:rsidP="00767038">
      <w:pPr>
        <w:pStyle w:val="Akapitzlist"/>
        <w:numPr>
          <w:ilvl w:val="0"/>
          <w:numId w:val="26"/>
        </w:numPr>
        <w:rPr>
          <w:lang w:val="pl-PL"/>
        </w:rPr>
      </w:pPr>
      <w:r w:rsidRPr="00767038">
        <w:rPr>
          <w:lang w:val="pl-PL"/>
        </w:rPr>
        <w:t xml:space="preserve">zakup </w:t>
      </w:r>
      <w:r w:rsidR="00233A82" w:rsidRPr="00767038">
        <w:rPr>
          <w:lang w:val="pl-PL"/>
        </w:rPr>
        <w:t>nieruchomości i/lub grunt</w:t>
      </w:r>
      <w:r w:rsidRPr="00767038">
        <w:rPr>
          <w:lang w:val="pl-PL"/>
        </w:rPr>
        <w:t>u</w:t>
      </w:r>
      <w:r w:rsidR="00233A82" w:rsidRPr="00767038">
        <w:rPr>
          <w:lang w:val="pl-PL"/>
        </w:rPr>
        <w:t xml:space="preserve"> nie może stanowić więcej niż </w:t>
      </w:r>
      <w:r w:rsidR="00DF022D" w:rsidRPr="00767038">
        <w:rPr>
          <w:lang w:val="pl-PL"/>
        </w:rPr>
        <w:t xml:space="preserve">10% </w:t>
      </w:r>
      <w:r w:rsidR="00233A82" w:rsidRPr="00767038">
        <w:rPr>
          <w:lang w:val="pl-PL"/>
        </w:rPr>
        <w:t xml:space="preserve">całkowitych </w:t>
      </w:r>
      <w:r w:rsidRPr="00767038">
        <w:rPr>
          <w:lang w:val="pl-PL"/>
        </w:rPr>
        <w:t xml:space="preserve">wydatków </w:t>
      </w:r>
      <w:r w:rsidR="00233A82" w:rsidRPr="00767038">
        <w:rPr>
          <w:lang w:val="pl-PL"/>
        </w:rPr>
        <w:t xml:space="preserve">kwalifikowalnych projektu, chyba że </w:t>
      </w:r>
      <w:r w:rsidRPr="00767038">
        <w:rPr>
          <w:lang w:val="pl-PL"/>
        </w:rPr>
        <w:t>Umowa w sprawie programu i decyzja o przyznaniu dofinansowania dla projektu wyraźnie zezwalają na wyższy udział tego rodzaju kosztów;</w:t>
      </w:r>
      <w:r w:rsidR="00DF022D" w:rsidRPr="00767038">
        <w:rPr>
          <w:lang w:val="pl-PL"/>
        </w:rPr>
        <w:t xml:space="preserve"> </w:t>
      </w:r>
    </w:p>
    <w:p w:rsidR="00256559" w:rsidRPr="00BA31B0" w:rsidRDefault="006C7DBF" w:rsidP="00506A1D">
      <w:pPr>
        <w:pStyle w:val="Akapitzlist"/>
        <w:numPr>
          <w:ilvl w:val="0"/>
          <w:numId w:val="26"/>
        </w:numPr>
        <w:rPr>
          <w:lang w:val="pl-PL"/>
        </w:rPr>
      </w:pPr>
      <w:r w:rsidRPr="00767038">
        <w:rPr>
          <w:lang w:val="pl-PL"/>
        </w:rPr>
        <w:t xml:space="preserve">przed </w:t>
      </w:r>
      <w:r w:rsidR="00011E1E" w:rsidRPr="00767038">
        <w:rPr>
          <w:lang w:val="pl-PL"/>
        </w:rPr>
        <w:t>zakupem</w:t>
      </w:r>
      <w:r w:rsidRPr="00767038">
        <w:rPr>
          <w:lang w:val="pl-PL"/>
        </w:rPr>
        <w:t xml:space="preserve"> należy uzyskać </w:t>
      </w:r>
      <w:r w:rsidR="00011E1E" w:rsidRPr="00767038">
        <w:rPr>
          <w:lang w:val="pl-PL"/>
        </w:rPr>
        <w:t>świadectwo</w:t>
      </w:r>
      <w:r w:rsidRPr="00767038">
        <w:rPr>
          <w:lang w:val="pl-PL"/>
        </w:rPr>
        <w:t xml:space="preserve"> od niezależnego</w:t>
      </w:r>
      <w:r w:rsidR="00011E1E" w:rsidRPr="00767038">
        <w:rPr>
          <w:lang w:val="pl-PL"/>
        </w:rPr>
        <w:t>,</w:t>
      </w:r>
      <w:r w:rsidRPr="00767038">
        <w:rPr>
          <w:lang w:val="pl-PL"/>
        </w:rPr>
        <w:t xml:space="preserve"> wykwalifikowanego rzeczoznawcy lub </w:t>
      </w:r>
      <w:r w:rsidR="00011E1E" w:rsidRPr="00767038">
        <w:rPr>
          <w:lang w:val="pl-PL"/>
        </w:rPr>
        <w:t>właściwego</w:t>
      </w:r>
      <w:r w:rsidRPr="00767038">
        <w:rPr>
          <w:lang w:val="pl-PL"/>
        </w:rPr>
        <w:t xml:space="preserve"> </w:t>
      </w:r>
      <w:r w:rsidR="00A35E94" w:rsidRPr="00767038">
        <w:rPr>
          <w:lang w:val="pl-PL"/>
        </w:rPr>
        <w:t>organu urzędowego</w:t>
      </w:r>
      <w:r w:rsidRPr="00767038">
        <w:rPr>
          <w:lang w:val="pl-PL"/>
        </w:rPr>
        <w:t>, potwierdza</w:t>
      </w:r>
      <w:r w:rsidR="00011E1E" w:rsidRPr="00767038">
        <w:rPr>
          <w:lang w:val="pl-PL"/>
        </w:rPr>
        <w:t>jące</w:t>
      </w:r>
      <w:r w:rsidRPr="00767038">
        <w:rPr>
          <w:lang w:val="pl-PL"/>
        </w:rPr>
        <w:t xml:space="preserve">, że cena </w:t>
      </w:r>
      <w:r w:rsidR="00011E1E" w:rsidRPr="00767038">
        <w:rPr>
          <w:lang w:val="pl-PL"/>
        </w:rPr>
        <w:t>zakupu</w:t>
      </w:r>
      <w:r w:rsidRPr="00767038">
        <w:rPr>
          <w:lang w:val="pl-PL"/>
        </w:rPr>
        <w:t xml:space="preserve"> nie przekracza wartości rynkowej </w:t>
      </w:r>
      <w:r w:rsidR="00011E1E" w:rsidRPr="00767038">
        <w:rPr>
          <w:lang w:val="pl-PL"/>
        </w:rPr>
        <w:t xml:space="preserve">oraz że nieruchomość jest wolna od </w:t>
      </w:r>
      <w:r w:rsidR="00A35E94" w:rsidRPr="00767038">
        <w:rPr>
          <w:lang w:val="pl-PL"/>
        </w:rPr>
        <w:t>wszelkich zobowiązań</w:t>
      </w:r>
      <w:r w:rsidR="00011E1E" w:rsidRPr="00767038">
        <w:rPr>
          <w:lang w:val="pl-PL"/>
        </w:rPr>
        <w:t>, w postaci kredytów</w:t>
      </w:r>
      <w:r w:rsidRPr="00767038">
        <w:rPr>
          <w:lang w:val="pl-PL"/>
        </w:rPr>
        <w:t xml:space="preserve"> hipoteczny</w:t>
      </w:r>
      <w:r w:rsidR="00011E1E" w:rsidRPr="00767038">
        <w:rPr>
          <w:lang w:val="pl-PL"/>
        </w:rPr>
        <w:t>ch i</w:t>
      </w:r>
      <w:r w:rsidRPr="00767038">
        <w:rPr>
          <w:lang w:val="pl-PL"/>
        </w:rPr>
        <w:t xml:space="preserve"> inn</w:t>
      </w:r>
      <w:r w:rsidR="00011E1E" w:rsidRPr="00767038">
        <w:rPr>
          <w:lang w:val="pl-PL"/>
        </w:rPr>
        <w:t>ych</w:t>
      </w:r>
      <w:r w:rsidRPr="00767038">
        <w:rPr>
          <w:lang w:val="pl-PL"/>
        </w:rPr>
        <w:t xml:space="preserve"> </w:t>
      </w:r>
      <w:r w:rsidR="00895BF3" w:rsidRPr="00767038">
        <w:rPr>
          <w:lang w:val="pl-PL"/>
        </w:rPr>
        <w:t>zobowiąza</w:t>
      </w:r>
      <w:r w:rsidR="00011E1E" w:rsidRPr="00767038">
        <w:rPr>
          <w:lang w:val="pl-PL"/>
        </w:rPr>
        <w:t>ń</w:t>
      </w:r>
      <w:r w:rsidRPr="00767038">
        <w:rPr>
          <w:lang w:val="pl-PL"/>
        </w:rPr>
        <w:t xml:space="preserve">, w szczególności w </w:t>
      </w:r>
      <w:r w:rsidR="00011E1E" w:rsidRPr="00767038">
        <w:rPr>
          <w:lang w:val="pl-PL"/>
        </w:rPr>
        <w:t>odniesieniu do szkód związanych</w:t>
      </w:r>
      <w:r w:rsidRPr="00767038">
        <w:rPr>
          <w:lang w:val="pl-PL"/>
        </w:rPr>
        <w:t xml:space="preserve"> z zanieczyszczeniem</w:t>
      </w:r>
      <w:r w:rsidR="00DF022D" w:rsidRPr="00767038">
        <w:rPr>
          <w:lang w:val="pl-PL"/>
        </w:rPr>
        <w:t xml:space="preserve">. </w:t>
      </w:r>
      <w:r w:rsidR="00257E90" w:rsidRPr="00767038">
        <w:rPr>
          <w:lang w:val="pl-PL"/>
        </w:rPr>
        <w:t xml:space="preserve">W przypadku </w:t>
      </w:r>
      <w:r w:rsidR="00011E1E" w:rsidRPr="00767038">
        <w:rPr>
          <w:lang w:val="pl-PL"/>
        </w:rPr>
        <w:t>zakupu</w:t>
      </w:r>
      <w:r w:rsidR="00257E90" w:rsidRPr="00767038">
        <w:rPr>
          <w:lang w:val="pl-PL"/>
        </w:rPr>
        <w:t xml:space="preserve"> nieruchomości </w:t>
      </w:r>
      <w:r w:rsidR="00011E1E" w:rsidRPr="00767038">
        <w:rPr>
          <w:lang w:val="pl-PL"/>
        </w:rPr>
        <w:t>świadectwo</w:t>
      </w:r>
      <w:r w:rsidR="00257E90" w:rsidRPr="00767038">
        <w:rPr>
          <w:lang w:val="pl-PL"/>
        </w:rPr>
        <w:t xml:space="preserve"> musi albo potwierdzać, że dana budowa jest zgodna z </w:t>
      </w:r>
      <w:r w:rsidR="00011E1E" w:rsidRPr="00767038">
        <w:rPr>
          <w:lang w:val="pl-PL"/>
        </w:rPr>
        <w:t>przepisami</w:t>
      </w:r>
      <w:r w:rsidR="00257E90" w:rsidRPr="00767038">
        <w:rPr>
          <w:lang w:val="pl-PL"/>
        </w:rPr>
        <w:t xml:space="preserve"> krajowymi, </w:t>
      </w:r>
      <w:r w:rsidR="00011E1E" w:rsidRPr="00767038">
        <w:rPr>
          <w:lang w:val="pl-PL"/>
        </w:rPr>
        <w:t xml:space="preserve">lub </w:t>
      </w:r>
      <w:r w:rsidR="00257E90" w:rsidRPr="00767038">
        <w:rPr>
          <w:lang w:val="pl-PL"/>
        </w:rPr>
        <w:t>określać</w:t>
      </w:r>
      <w:r w:rsidR="00011E1E" w:rsidRPr="00767038">
        <w:rPr>
          <w:lang w:val="pl-PL"/>
        </w:rPr>
        <w:t>, co nie jest zgodne z przepisami</w:t>
      </w:r>
      <w:r w:rsidR="00257E90" w:rsidRPr="00767038">
        <w:rPr>
          <w:lang w:val="pl-PL"/>
        </w:rPr>
        <w:t xml:space="preserve"> krajowymi, </w:t>
      </w:r>
      <w:r w:rsidR="00011E1E" w:rsidRPr="00767038">
        <w:rPr>
          <w:lang w:val="pl-PL"/>
        </w:rPr>
        <w:t>ale w ramach projektu ma zostać skorygowane przez beneficjenta;</w:t>
      </w:r>
    </w:p>
    <w:p w:rsidR="00FD4630" w:rsidRPr="00531CEC" w:rsidRDefault="00257E90" w:rsidP="00531CEC">
      <w:pPr>
        <w:pStyle w:val="Akapitzlist"/>
        <w:numPr>
          <w:ilvl w:val="0"/>
          <w:numId w:val="26"/>
        </w:numPr>
        <w:rPr>
          <w:lang w:val="pl-PL"/>
        </w:rPr>
      </w:pPr>
      <w:r w:rsidRPr="00767038">
        <w:rPr>
          <w:lang w:val="pl-PL"/>
        </w:rPr>
        <w:t xml:space="preserve">nieruchomość i/lub grunt </w:t>
      </w:r>
      <w:r w:rsidR="00011E1E" w:rsidRPr="00767038">
        <w:rPr>
          <w:lang w:val="pl-PL"/>
        </w:rPr>
        <w:t xml:space="preserve">powinny zostać </w:t>
      </w:r>
      <w:r w:rsidR="00A35E94" w:rsidRPr="00767038">
        <w:rPr>
          <w:lang w:val="pl-PL"/>
        </w:rPr>
        <w:t>wykorzystane do</w:t>
      </w:r>
      <w:r w:rsidR="00256559" w:rsidRPr="00767038">
        <w:rPr>
          <w:lang w:val="pl-PL"/>
        </w:rPr>
        <w:t xml:space="preserve"> celów projektu i przez</w:t>
      </w:r>
      <w:r w:rsidRPr="00767038">
        <w:rPr>
          <w:lang w:val="pl-PL"/>
        </w:rPr>
        <w:t xml:space="preserve"> okres </w:t>
      </w:r>
      <w:r w:rsidR="00256559" w:rsidRPr="00767038">
        <w:rPr>
          <w:lang w:val="pl-PL"/>
        </w:rPr>
        <w:t>wskazany</w:t>
      </w:r>
      <w:r w:rsidRPr="00767038">
        <w:rPr>
          <w:lang w:val="pl-PL"/>
        </w:rPr>
        <w:t xml:space="preserve"> w decyzji o przyznaniu dofinansowania </w:t>
      </w:r>
      <w:r w:rsidR="00256559" w:rsidRPr="00767038">
        <w:rPr>
          <w:lang w:val="pl-PL"/>
        </w:rPr>
        <w:t>dla</w:t>
      </w:r>
      <w:r w:rsidRPr="00767038">
        <w:rPr>
          <w:lang w:val="pl-PL"/>
        </w:rPr>
        <w:t xml:space="preserve"> projekt</w:t>
      </w:r>
      <w:r w:rsidR="00256559" w:rsidRPr="00767038">
        <w:rPr>
          <w:lang w:val="pl-PL"/>
        </w:rPr>
        <w:t>u</w:t>
      </w:r>
      <w:r w:rsidR="00DF022D" w:rsidRPr="00767038">
        <w:rPr>
          <w:lang w:val="pl-PL"/>
        </w:rPr>
        <w:t>.</w:t>
      </w:r>
      <w:r w:rsidRPr="00767038">
        <w:rPr>
          <w:lang w:val="pl-PL"/>
        </w:rPr>
        <w:t xml:space="preserve"> </w:t>
      </w:r>
      <w:r w:rsidR="00256559" w:rsidRPr="00767038">
        <w:rPr>
          <w:rStyle w:val="longtext"/>
          <w:rFonts w:cs="Calibri"/>
          <w:color w:val="000000"/>
          <w:szCs w:val="20"/>
          <w:lang w:val="pl-PL"/>
        </w:rPr>
        <w:t xml:space="preserve">Przed zakończeniem projektu prawo własności musi być przekazane beneficjentowi lub osobom w sposób wyraźny określonym przez beneficjenta we wniosku </w:t>
      </w:r>
      <w:r w:rsidR="00A35E94" w:rsidRPr="00767038">
        <w:rPr>
          <w:rStyle w:val="longtext"/>
          <w:rFonts w:cs="Calibri"/>
          <w:color w:val="000000"/>
          <w:szCs w:val="20"/>
          <w:lang w:val="pl-PL"/>
        </w:rPr>
        <w:t>aplikacyjnym, jako</w:t>
      </w:r>
      <w:r w:rsidR="00256559" w:rsidRPr="00767038">
        <w:rPr>
          <w:rStyle w:val="longtext"/>
          <w:rFonts w:cs="Calibri"/>
          <w:color w:val="000000"/>
          <w:szCs w:val="20"/>
          <w:lang w:val="pl-PL"/>
        </w:rPr>
        <w:t xml:space="preserve"> odbiorcy nieruchomości i/lub gruntu.</w:t>
      </w:r>
      <w:r w:rsidR="00256559" w:rsidRPr="00767038">
        <w:rPr>
          <w:rFonts w:cs="Calibri"/>
          <w:color w:val="000000"/>
          <w:szCs w:val="20"/>
          <w:lang w:val="pl-PL"/>
        </w:rPr>
        <w:t xml:space="preserve"> </w:t>
      </w:r>
      <w:r w:rsidR="00256559" w:rsidRPr="00767038">
        <w:rPr>
          <w:rStyle w:val="longtext"/>
          <w:rFonts w:cs="Calibri"/>
          <w:color w:val="000000"/>
          <w:szCs w:val="20"/>
          <w:lang w:val="pl-PL"/>
        </w:rPr>
        <w:t>Nieruchomości i/lub gruntów nie można sprzedać, wynająć lub wykorzystać jako zastawu hipotecznego przez pięć lat od zakończenia projektu, lub dłużej, jeśli tak określono w umowie w sprawie projektu.</w:t>
      </w:r>
      <w:r w:rsidR="00256559" w:rsidRPr="00767038">
        <w:rPr>
          <w:rFonts w:cs="Calibri"/>
          <w:color w:val="000000"/>
          <w:szCs w:val="20"/>
          <w:lang w:val="pl-PL"/>
        </w:rPr>
        <w:t xml:space="preserve"> KMF </w:t>
      </w:r>
      <w:r w:rsidR="00256559" w:rsidRPr="00767038">
        <w:rPr>
          <w:rStyle w:val="longtext"/>
          <w:rFonts w:cs="Calibri"/>
          <w:color w:val="000000"/>
          <w:szCs w:val="20"/>
          <w:lang w:val="pl-PL"/>
        </w:rPr>
        <w:t xml:space="preserve">może zrezygnować z tego ograniczenia, jeśli mogłoby to doprowadzić do nieuzasadnionych obciążeń dla </w:t>
      </w:r>
      <w:r w:rsidR="00A35E94" w:rsidRPr="00767038">
        <w:rPr>
          <w:rStyle w:val="longtext"/>
          <w:rFonts w:cs="Calibri"/>
          <w:color w:val="000000"/>
          <w:szCs w:val="20"/>
          <w:lang w:val="pl-PL"/>
        </w:rPr>
        <w:t>beneficjenta;</w:t>
      </w:r>
    </w:p>
    <w:p w:rsidR="00256559" w:rsidRPr="008C2068" w:rsidRDefault="00A35E94" w:rsidP="00767038">
      <w:pPr>
        <w:pStyle w:val="Akapitzlist"/>
        <w:numPr>
          <w:ilvl w:val="0"/>
          <w:numId w:val="26"/>
        </w:numPr>
        <w:rPr>
          <w:lang w:val="pl-PL"/>
        </w:rPr>
      </w:pPr>
      <w:r w:rsidRPr="00767038">
        <w:rPr>
          <w:lang w:val="pl-PL"/>
        </w:rPr>
        <w:t>nieruchomość</w:t>
      </w:r>
      <w:r w:rsidR="00257E90" w:rsidRPr="00767038">
        <w:rPr>
          <w:lang w:val="pl-PL"/>
        </w:rPr>
        <w:t xml:space="preserve"> i/lub grunt mo</w:t>
      </w:r>
      <w:r w:rsidR="00531CEC">
        <w:rPr>
          <w:lang w:val="pl-PL"/>
        </w:rPr>
        <w:t>gą</w:t>
      </w:r>
      <w:r w:rsidR="00257E90" w:rsidRPr="00767038">
        <w:rPr>
          <w:lang w:val="pl-PL"/>
        </w:rPr>
        <w:t xml:space="preserve"> </w:t>
      </w:r>
      <w:r w:rsidR="00256559" w:rsidRPr="00767038">
        <w:rPr>
          <w:lang w:val="pl-PL"/>
        </w:rPr>
        <w:t xml:space="preserve">być </w:t>
      </w:r>
      <w:r w:rsidR="00257E90" w:rsidRPr="00767038">
        <w:rPr>
          <w:lang w:val="pl-PL"/>
        </w:rPr>
        <w:t>wykorzyst</w:t>
      </w:r>
      <w:r w:rsidR="00256559" w:rsidRPr="00767038">
        <w:rPr>
          <w:lang w:val="pl-PL"/>
        </w:rPr>
        <w:t>ane</w:t>
      </w:r>
      <w:r w:rsidR="00257E90" w:rsidRPr="00767038">
        <w:rPr>
          <w:lang w:val="pl-PL"/>
        </w:rPr>
        <w:t xml:space="preserve"> </w:t>
      </w:r>
      <w:r w:rsidR="00256559" w:rsidRPr="00767038">
        <w:rPr>
          <w:lang w:val="pl-PL"/>
        </w:rPr>
        <w:t>tylko</w:t>
      </w:r>
      <w:r w:rsidR="00257E90" w:rsidRPr="00767038">
        <w:rPr>
          <w:lang w:val="pl-PL"/>
        </w:rPr>
        <w:t xml:space="preserve"> zgodnie z celami projektu</w:t>
      </w:r>
      <w:r w:rsidR="00DF022D" w:rsidRPr="00767038">
        <w:rPr>
          <w:lang w:val="pl-PL"/>
        </w:rPr>
        <w:t>.</w:t>
      </w:r>
      <w:r w:rsidR="00257E90" w:rsidRPr="00767038">
        <w:rPr>
          <w:lang w:val="pl-PL"/>
        </w:rPr>
        <w:t xml:space="preserve"> </w:t>
      </w:r>
      <w:r w:rsidR="00256559" w:rsidRPr="00767038">
        <w:rPr>
          <w:rFonts w:cs="Calibri"/>
          <w:color w:val="000000"/>
          <w:szCs w:val="20"/>
          <w:lang w:val="pl-PL"/>
        </w:rPr>
        <w:t xml:space="preserve">W szczególności budynki mogą być użyte do celów administracji publicznej tylko wtedy, gdy takie użytkowanie jest zgodne z celem </w:t>
      </w:r>
      <w:r w:rsidRPr="00767038">
        <w:rPr>
          <w:rFonts w:cs="Calibri"/>
          <w:color w:val="000000"/>
          <w:szCs w:val="20"/>
          <w:lang w:val="pl-PL"/>
        </w:rPr>
        <w:t>projektu; oraz</w:t>
      </w:r>
    </w:p>
    <w:p w:rsidR="008C2068" w:rsidRPr="008C2068" w:rsidRDefault="008C2068" w:rsidP="008C2068">
      <w:pPr>
        <w:pStyle w:val="Akapitzlist"/>
        <w:rPr>
          <w:lang w:val="pl-PL"/>
        </w:rPr>
      </w:pPr>
    </w:p>
    <w:p w:rsidR="008C2068" w:rsidRPr="008C2068" w:rsidRDefault="008C2068" w:rsidP="00767038">
      <w:pPr>
        <w:pStyle w:val="Akapitzlist"/>
        <w:numPr>
          <w:ilvl w:val="0"/>
          <w:numId w:val="26"/>
        </w:numPr>
        <w:rPr>
          <w:szCs w:val="20"/>
          <w:lang w:val="pl-PL"/>
        </w:rPr>
      </w:pPr>
      <w:r w:rsidRPr="008C2068">
        <w:rPr>
          <w:rStyle w:val="longtext"/>
          <w:rFonts w:cs="Calibri"/>
          <w:color w:val="000000"/>
          <w:szCs w:val="20"/>
          <w:lang w:val="pl-PL"/>
        </w:rPr>
        <w:t>przed zakupem Operator Programu wyrazi wprost zgodę na nabycie nieruchomości i/lub gruntu albo w umowie w sprawie projektu albo na drodze późniejszej decyzji.</w:t>
      </w:r>
    </w:p>
    <w:p w:rsidR="00DF022D" w:rsidRPr="00767038" w:rsidRDefault="00257E90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>Koszty</w:t>
      </w:r>
      <w:r w:rsidR="00895BF3" w:rsidRPr="00767038">
        <w:rPr>
          <w:lang w:val="pl-PL"/>
        </w:rPr>
        <w:t xml:space="preserve"> </w:t>
      </w:r>
      <w:r w:rsidRPr="00767038">
        <w:rPr>
          <w:lang w:val="pl-PL"/>
        </w:rPr>
        <w:t>usług konsumpcyjnych i zaopatrzenia</w:t>
      </w:r>
    </w:p>
    <w:p w:rsidR="00DF022D" w:rsidRPr="00767038" w:rsidRDefault="00257E90" w:rsidP="00DF022D">
      <w:pPr>
        <w:rPr>
          <w:lang w:val="pl-PL"/>
        </w:rPr>
      </w:pPr>
      <w:r w:rsidRPr="00767038">
        <w:rPr>
          <w:lang w:val="pl-PL"/>
        </w:rPr>
        <w:t>Koszty usług konsumpcyjnych i zaopatrzenia są kosztami kwalifikowalnymi, jeżeli są identyfikowalne i przypisane do projektu</w:t>
      </w:r>
      <w:r w:rsidR="00DF022D" w:rsidRPr="00767038">
        <w:rPr>
          <w:lang w:val="pl-PL"/>
        </w:rPr>
        <w:t>.</w:t>
      </w:r>
    </w:p>
    <w:p w:rsidR="00ED182F" w:rsidRPr="00767038" w:rsidRDefault="00C3487A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Koszty związane z pozostałymi zamówieniami udzielonymi przez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na potrzeby projektu</w:t>
      </w:r>
    </w:p>
    <w:p w:rsidR="00ED182F" w:rsidRPr="00767038" w:rsidRDefault="00C3487A" w:rsidP="00376576">
      <w:pPr>
        <w:rPr>
          <w:lang w:val="pl-PL"/>
        </w:rPr>
      </w:pPr>
      <w:r w:rsidRPr="00767038">
        <w:rPr>
          <w:lang w:val="pl-PL"/>
        </w:rPr>
        <w:t xml:space="preserve">Jeżeli realizacja projektu wymaga złożenia zamówień, partner lub partnerzy muszą </w:t>
      </w:r>
      <w:r w:rsidR="00AE401D">
        <w:rPr>
          <w:lang w:val="pl-PL"/>
        </w:rPr>
        <w:t>przestrzegać</w:t>
      </w:r>
      <w:r w:rsidRPr="00767038">
        <w:rPr>
          <w:lang w:val="pl-PL"/>
        </w:rPr>
        <w:t xml:space="preserve"> </w:t>
      </w:r>
      <w:r w:rsidR="00AE401D">
        <w:rPr>
          <w:lang w:val="pl-PL"/>
        </w:rPr>
        <w:t>obowiązujących</w:t>
      </w:r>
      <w:r w:rsidRPr="00767038">
        <w:rPr>
          <w:lang w:val="pl-PL"/>
        </w:rPr>
        <w:t xml:space="preserve"> (krajow</w:t>
      </w:r>
      <w:r w:rsidR="00AE401D">
        <w:rPr>
          <w:lang w:val="pl-PL"/>
        </w:rPr>
        <w:t>ych</w:t>
      </w:r>
      <w:r w:rsidRPr="00767038">
        <w:rPr>
          <w:lang w:val="pl-PL"/>
        </w:rPr>
        <w:t xml:space="preserve"> i </w:t>
      </w:r>
      <w:r w:rsidR="0078677E">
        <w:rPr>
          <w:lang w:val="pl-PL"/>
        </w:rPr>
        <w:t>unijnych</w:t>
      </w:r>
      <w:r w:rsidRPr="00767038">
        <w:rPr>
          <w:lang w:val="pl-PL"/>
        </w:rPr>
        <w:t>) przepis</w:t>
      </w:r>
      <w:r w:rsidR="00AE401D">
        <w:rPr>
          <w:lang w:val="pl-PL"/>
        </w:rPr>
        <w:t>ów</w:t>
      </w:r>
      <w:r w:rsidRPr="00767038">
        <w:rPr>
          <w:lang w:val="pl-PL"/>
        </w:rPr>
        <w:t xml:space="preserve"> prawn</w:t>
      </w:r>
      <w:r w:rsidR="00AE401D">
        <w:rPr>
          <w:lang w:val="pl-PL"/>
        </w:rPr>
        <w:t>ych</w:t>
      </w:r>
      <w:r w:rsidRPr="00767038">
        <w:rPr>
          <w:lang w:val="pl-PL"/>
        </w:rPr>
        <w:t xml:space="preserve"> w zakresie zamówień publicznych i odpowiedni</w:t>
      </w:r>
      <w:r w:rsidR="00AE401D">
        <w:rPr>
          <w:lang w:val="pl-PL"/>
        </w:rPr>
        <w:t>ch</w:t>
      </w:r>
      <w:r w:rsidRPr="00767038">
        <w:rPr>
          <w:lang w:val="pl-PL"/>
        </w:rPr>
        <w:t xml:space="preserve"> przepis</w:t>
      </w:r>
      <w:r w:rsidR="00AE401D">
        <w:rPr>
          <w:lang w:val="pl-PL"/>
        </w:rPr>
        <w:t>ów</w:t>
      </w:r>
      <w:r w:rsidRPr="00767038">
        <w:rPr>
          <w:lang w:val="pl-PL"/>
        </w:rPr>
        <w:t xml:space="preserve"> </w:t>
      </w:r>
      <w:r w:rsidR="00256559" w:rsidRPr="00767038">
        <w:rPr>
          <w:lang w:val="pl-PL"/>
        </w:rPr>
        <w:t>Regulacji</w:t>
      </w:r>
      <w:r w:rsidR="00ED182F" w:rsidRPr="00767038">
        <w:rPr>
          <w:lang w:val="pl-PL"/>
        </w:rPr>
        <w:t>.</w:t>
      </w:r>
    </w:p>
    <w:p w:rsidR="00ED182F" w:rsidRPr="00767038" w:rsidRDefault="00C3487A" w:rsidP="00376576">
      <w:pPr>
        <w:rPr>
          <w:lang w:val="pl-PL"/>
        </w:rPr>
      </w:pPr>
      <w:r w:rsidRPr="00767038">
        <w:rPr>
          <w:lang w:val="pl-PL"/>
        </w:rPr>
        <w:t>Podwykonawstwo odnosi się do umów w celu przekazania innym podmiotom określonych zadań lub działań, które stanowią część projektu zgodnie z ofertą</w:t>
      </w:r>
      <w:r w:rsidR="00ED182F" w:rsidRPr="00767038">
        <w:rPr>
          <w:lang w:val="pl-PL"/>
        </w:rPr>
        <w:t>.</w:t>
      </w:r>
      <w:r w:rsidRPr="00767038">
        <w:rPr>
          <w:lang w:val="pl-PL"/>
        </w:rPr>
        <w:t xml:space="preserve"> Takie umowy muszą spełniać warunki mające zastosowanie do umów podlegających procedurom zamówień</w:t>
      </w:r>
      <w:r w:rsidR="00256559" w:rsidRPr="00767038">
        <w:rPr>
          <w:lang w:val="pl-PL"/>
        </w:rPr>
        <w:t xml:space="preserve"> publicznych</w:t>
      </w:r>
      <w:r w:rsidR="00ED182F" w:rsidRPr="00767038">
        <w:rPr>
          <w:lang w:val="pl-PL"/>
        </w:rPr>
        <w:t>.</w:t>
      </w:r>
    </w:p>
    <w:p w:rsidR="00503207" w:rsidRPr="00767038" w:rsidRDefault="00C3487A" w:rsidP="00C27B08">
      <w:pPr>
        <w:pStyle w:val="Nagwek3"/>
        <w:rPr>
          <w:lang w:val="pl-PL"/>
        </w:rPr>
      </w:pPr>
      <w:r w:rsidRPr="00767038">
        <w:rPr>
          <w:lang w:val="pl-PL"/>
        </w:rPr>
        <w:t>Koszty wynikające bezpośrednio z wymagań nałożonych w umowach w spraw</w:t>
      </w:r>
      <w:r w:rsidR="007561F4" w:rsidRPr="00767038">
        <w:rPr>
          <w:lang w:val="pl-PL"/>
        </w:rPr>
        <w:t>ie</w:t>
      </w:r>
      <w:r w:rsidRPr="00767038">
        <w:rPr>
          <w:lang w:val="pl-PL"/>
        </w:rPr>
        <w:t xml:space="preserve"> projektów</w:t>
      </w:r>
    </w:p>
    <w:p w:rsidR="00503207" w:rsidRPr="00767038" w:rsidRDefault="00C3487A" w:rsidP="009F7AB8">
      <w:pPr>
        <w:rPr>
          <w:lang w:val="pl-PL"/>
        </w:rPr>
      </w:pPr>
      <w:r w:rsidRPr="00767038">
        <w:rPr>
          <w:lang w:val="pl-PL"/>
        </w:rPr>
        <w:t>Kwalifikowalne koszty wynikające bezpośrednio z wymagań nałożonych w umowie w sprawie projektu mogą obejmować działania popularyzujące, opinię niezależnego audytora itd., o ile odpowiednie usługi nabywa się zgodnie z zasadami mającymi zastosowanie do składania zamówień</w:t>
      </w:r>
      <w:r w:rsidR="009F7AB8" w:rsidRPr="00767038">
        <w:rPr>
          <w:lang w:val="pl-PL"/>
        </w:rPr>
        <w:t>.</w:t>
      </w:r>
    </w:p>
    <w:p w:rsidR="00ED182F" w:rsidRPr="00767038" w:rsidRDefault="00C3487A" w:rsidP="00C27B08">
      <w:pPr>
        <w:pStyle w:val="Nagwek3"/>
        <w:rPr>
          <w:lang w:val="pl-PL"/>
        </w:rPr>
      </w:pPr>
      <w:r w:rsidRPr="00767038">
        <w:rPr>
          <w:lang w:val="pl-PL"/>
        </w:rPr>
        <w:t>Pozostałe kategorie wydatków bezpośrednich, które można uznać za kwalifikowalne</w:t>
      </w:r>
    </w:p>
    <w:p w:rsidR="009F7AB8" w:rsidRDefault="00C3487A" w:rsidP="009F7AB8">
      <w:pPr>
        <w:rPr>
          <w:lang w:val="pl-PL"/>
        </w:rPr>
      </w:pPr>
      <w:r w:rsidRPr="00767038">
        <w:rPr>
          <w:lang w:val="pl-PL"/>
        </w:rPr>
        <w:t>Odnosząc się do a</w:t>
      </w:r>
      <w:r w:rsidR="009F7AB8" w:rsidRPr="00767038">
        <w:rPr>
          <w:lang w:val="pl-PL"/>
        </w:rPr>
        <w:t>rt. 8.3.3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9F7AB8" w:rsidRPr="00767038">
        <w:rPr>
          <w:lang w:val="pl-PL"/>
        </w:rPr>
        <w:t xml:space="preserve">,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może, w </w:t>
      </w:r>
      <w:r w:rsidR="007561F4" w:rsidRPr="00767038">
        <w:rPr>
          <w:lang w:val="pl-PL"/>
        </w:rPr>
        <w:t xml:space="preserve">wyjątkowych i </w:t>
      </w:r>
      <w:r w:rsidR="00A35E94" w:rsidRPr="00767038">
        <w:rPr>
          <w:lang w:val="pl-PL"/>
        </w:rPr>
        <w:t>należycie</w:t>
      </w:r>
      <w:r w:rsidRPr="00767038">
        <w:rPr>
          <w:lang w:val="pl-PL"/>
        </w:rPr>
        <w:t xml:space="preserve"> uzasadnionych przypadkach, zasugerować </w:t>
      </w:r>
      <w:r w:rsidR="007561F4" w:rsidRPr="00767038">
        <w:rPr>
          <w:lang w:val="pl-PL"/>
        </w:rPr>
        <w:t xml:space="preserve">włączenie </w:t>
      </w:r>
      <w:r w:rsidRPr="00767038">
        <w:rPr>
          <w:lang w:val="pl-PL"/>
        </w:rPr>
        <w:t>dodatkow</w:t>
      </w:r>
      <w:r w:rsidR="007561F4" w:rsidRPr="00767038">
        <w:rPr>
          <w:lang w:val="pl-PL"/>
        </w:rPr>
        <w:t>ych</w:t>
      </w:r>
      <w:r w:rsidRPr="00767038">
        <w:rPr>
          <w:lang w:val="pl-PL"/>
        </w:rPr>
        <w:t xml:space="preserve"> wydatk</w:t>
      </w:r>
      <w:r w:rsidR="007561F4" w:rsidRPr="00767038">
        <w:rPr>
          <w:lang w:val="pl-PL"/>
        </w:rPr>
        <w:t>ów</w:t>
      </w:r>
      <w:r w:rsidRPr="00767038">
        <w:rPr>
          <w:lang w:val="pl-PL"/>
        </w:rPr>
        <w:t xml:space="preserve"> lub </w:t>
      </w:r>
      <w:r w:rsidR="007561F4" w:rsidRPr="00767038">
        <w:rPr>
          <w:lang w:val="pl-PL"/>
        </w:rPr>
        <w:t>wykluczenie pewnych</w:t>
      </w:r>
      <w:r w:rsidRPr="00767038">
        <w:rPr>
          <w:lang w:val="pl-PL"/>
        </w:rPr>
        <w:t xml:space="preserve"> wydatk</w:t>
      </w:r>
      <w:r w:rsidR="007561F4" w:rsidRPr="00767038">
        <w:rPr>
          <w:lang w:val="pl-PL"/>
        </w:rPr>
        <w:t>ów</w:t>
      </w:r>
      <w:r w:rsidRPr="00767038">
        <w:rPr>
          <w:lang w:val="pl-PL"/>
        </w:rPr>
        <w:t>, o których mowa powyżej</w:t>
      </w:r>
      <w:r w:rsidR="009F7AB8" w:rsidRPr="00767038">
        <w:rPr>
          <w:lang w:val="pl-PL"/>
        </w:rPr>
        <w:t>.</w:t>
      </w:r>
      <w:r w:rsidRPr="00767038">
        <w:rPr>
          <w:lang w:val="pl-PL"/>
        </w:rPr>
        <w:t xml:space="preserve"> </w:t>
      </w:r>
      <w:r w:rsidR="007561F4" w:rsidRPr="00767038">
        <w:rPr>
          <w:lang w:val="pl-PL"/>
        </w:rPr>
        <w:t xml:space="preserve">Takie odstępstwa, </w:t>
      </w:r>
      <w:r w:rsidR="00A35E94" w:rsidRPr="00767038">
        <w:rPr>
          <w:lang w:val="pl-PL"/>
        </w:rPr>
        <w:t>jeśli zostaną</w:t>
      </w:r>
      <w:r w:rsidRPr="00767038">
        <w:rPr>
          <w:lang w:val="pl-PL"/>
        </w:rPr>
        <w:t xml:space="preserve"> zatwierdzone przez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, </w:t>
      </w:r>
      <w:r w:rsidR="007561F4" w:rsidRPr="00767038">
        <w:rPr>
          <w:lang w:val="pl-PL"/>
        </w:rPr>
        <w:t>są wyraźnie</w:t>
      </w:r>
      <w:r w:rsidRPr="00767038">
        <w:rPr>
          <w:lang w:val="pl-PL"/>
        </w:rPr>
        <w:t xml:space="preserve"> określone w </w:t>
      </w:r>
      <w:r w:rsidR="007561F4" w:rsidRPr="00767038">
        <w:rPr>
          <w:lang w:val="pl-PL"/>
        </w:rPr>
        <w:t>Umowie w sprawie programu</w:t>
      </w:r>
      <w:r w:rsidR="009F7AB8" w:rsidRPr="00767038">
        <w:rPr>
          <w:lang w:val="pl-PL"/>
        </w:rPr>
        <w:t>.</w:t>
      </w:r>
    </w:p>
    <w:p w:rsidR="008C2068" w:rsidRPr="00767038" w:rsidRDefault="008C2068" w:rsidP="009F7AB8">
      <w:pPr>
        <w:rPr>
          <w:lang w:val="pl-PL"/>
        </w:rPr>
      </w:pPr>
    </w:p>
    <w:p w:rsidR="00962AA6" w:rsidRPr="00767038" w:rsidRDefault="00C3487A" w:rsidP="00A0039A">
      <w:pPr>
        <w:pStyle w:val="Nagwek2"/>
        <w:rPr>
          <w:lang w:val="pl-PL"/>
        </w:rPr>
      </w:pPr>
      <w:bookmarkStart w:id="49" w:name="_Ref462062597"/>
      <w:bookmarkStart w:id="50" w:name="_Toc460508676"/>
      <w:bookmarkStart w:id="51" w:name="_Toc505238509"/>
      <w:r w:rsidRPr="00767038">
        <w:rPr>
          <w:rStyle w:val="Nagwek2Znak"/>
          <w:b/>
          <w:bCs/>
          <w:i/>
          <w:iCs/>
          <w:lang w:val="pl-PL"/>
        </w:rPr>
        <w:t xml:space="preserve">Koszty pośrednie projektów </w:t>
      </w:r>
      <w:r w:rsidR="00962AA6" w:rsidRPr="00767038">
        <w:rPr>
          <w:iCs/>
          <w:lang w:val="pl-PL"/>
        </w:rPr>
        <w:t>(</w:t>
      </w:r>
      <w:r w:rsidRPr="00767038">
        <w:rPr>
          <w:iCs/>
          <w:lang w:val="pl-PL"/>
        </w:rPr>
        <w:t>a</w:t>
      </w:r>
      <w:r w:rsidR="00962AA6" w:rsidRPr="00767038">
        <w:rPr>
          <w:iCs/>
          <w:lang w:val="pl-PL"/>
        </w:rPr>
        <w:t>rt. 8.5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962AA6" w:rsidRPr="00767038">
        <w:rPr>
          <w:iCs/>
          <w:lang w:val="pl-PL"/>
        </w:rPr>
        <w:t>)</w:t>
      </w:r>
      <w:bookmarkEnd w:id="49"/>
      <w:bookmarkEnd w:id="50"/>
      <w:bookmarkEnd w:id="51"/>
    </w:p>
    <w:p w:rsidR="00962AA6" w:rsidRPr="00767038" w:rsidRDefault="00C3487A" w:rsidP="00376576">
      <w:pPr>
        <w:rPr>
          <w:lang w:val="pl-PL"/>
        </w:rPr>
      </w:pPr>
      <w:r w:rsidRPr="00767038">
        <w:rPr>
          <w:lang w:val="pl-PL"/>
        </w:rPr>
        <w:t>Kosztów pośrednich nie można przypisać bezpośrednio do projektu, ale można je zidentyfikować i uzasadnić w systemie księgowym partnera jako poniesione w bezpośrednim związku z kwalifikowalnymi kosztami bezpośrednimi przypisanymi do projektu</w:t>
      </w:r>
      <w:r w:rsidR="00962AA6" w:rsidRPr="00767038">
        <w:rPr>
          <w:rStyle w:val="Odwoanieprzypisudolnego"/>
          <w:lang w:val="pl-PL"/>
        </w:rPr>
        <w:footnoteReference w:id="8"/>
      </w:r>
      <w:r w:rsidR="00962AA6" w:rsidRPr="00767038">
        <w:rPr>
          <w:lang w:val="pl-PL"/>
        </w:rPr>
        <w:t>.</w:t>
      </w:r>
      <w:r w:rsidRPr="00767038">
        <w:rPr>
          <w:lang w:val="pl-PL"/>
        </w:rPr>
        <w:t xml:space="preserve"> Artykuł 8.5.1 przewiduje następujące metody identyfikacji kosztów pośrednich</w:t>
      </w:r>
      <w:r w:rsidR="00962AA6" w:rsidRPr="00767038">
        <w:rPr>
          <w:lang w:val="pl-PL"/>
        </w:rPr>
        <w:t>:</w:t>
      </w:r>
    </w:p>
    <w:p w:rsidR="00962AA6" w:rsidRPr="00767038" w:rsidRDefault="00C3487A" w:rsidP="00767038">
      <w:pPr>
        <w:pStyle w:val="Akapitzlist"/>
        <w:numPr>
          <w:ilvl w:val="0"/>
          <w:numId w:val="7"/>
        </w:numPr>
        <w:rPr>
          <w:lang w:val="pl-PL"/>
        </w:rPr>
      </w:pPr>
      <w:r w:rsidRPr="00767038">
        <w:rPr>
          <w:lang w:val="pl-PL"/>
        </w:rPr>
        <w:lastRenderedPageBreak/>
        <w:t xml:space="preserve">na podstawie rzeczywistych kosztów </w:t>
      </w:r>
      <w:r w:rsidR="00A35E94" w:rsidRPr="00767038">
        <w:rPr>
          <w:lang w:val="pl-PL"/>
        </w:rPr>
        <w:t>pośrednich beneficjenta</w:t>
      </w:r>
      <w:r w:rsidRPr="00767038">
        <w:rPr>
          <w:lang w:val="pl-PL"/>
        </w:rPr>
        <w:t xml:space="preserve"> i partnerów projekt</w:t>
      </w:r>
      <w:r w:rsidR="00D33F82" w:rsidRPr="00767038">
        <w:rPr>
          <w:lang w:val="pl-PL"/>
        </w:rPr>
        <w:t>u</w:t>
      </w:r>
      <w:r w:rsidRPr="00767038">
        <w:rPr>
          <w:lang w:val="pl-PL"/>
        </w:rPr>
        <w:t>, którzy posiadają system księgow</w:t>
      </w:r>
      <w:r w:rsidR="00D33F82" w:rsidRPr="00767038">
        <w:rPr>
          <w:lang w:val="pl-PL"/>
        </w:rPr>
        <w:t>ości analitycznej</w:t>
      </w:r>
      <w:r w:rsidR="00962AA6" w:rsidRPr="00767038">
        <w:rPr>
          <w:lang w:val="pl-PL"/>
        </w:rPr>
        <w:t xml:space="preserve">; </w:t>
      </w:r>
    </w:p>
    <w:p w:rsidR="00962AA6" w:rsidRPr="00767038" w:rsidRDefault="007A5CAF" w:rsidP="00767038">
      <w:pPr>
        <w:pStyle w:val="Akapitzlist"/>
        <w:numPr>
          <w:ilvl w:val="0"/>
          <w:numId w:val="7"/>
        </w:numPr>
        <w:rPr>
          <w:lang w:val="pl-PL"/>
        </w:rPr>
      </w:pPr>
      <w:r w:rsidRPr="00767038">
        <w:rPr>
          <w:lang w:val="pl-PL"/>
        </w:rPr>
        <w:t>stała</w:t>
      </w:r>
      <w:r w:rsidR="00D33F82" w:rsidRPr="00767038">
        <w:rPr>
          <w:lang w:val="pl-PL"/>
        </w:rPr>
        <w:t>, zryczałtowana</w:t>
      </w:r>
      <w:r w:rsidRPr="00767038">
        <w:rPr>
          <w:lang w:val="pl-PL"/>
        </w:rPr>
        <w:t xml:space="preserve"> stawka do 25% całkowitych kwalifikowalnych kosztów bezpośrednich, z wyłączeniem </w:t>
      </w:r>
      <w:r w:rsidR="00D33F82" w:rsidRPr="00767038">
        <w:rPr>
          <w:lang w:val="pl-PL"/>
        </w:rPr>
        <w:t xml:space="preserve">bezpośrednich kosztów </w:t>
      </w:r>
      <w:r w:rsidRPr="00767038">
        <w:rPr>
          <w:lang w:val="pl-PL"/>
        </w:rPr>
        <w:t xml:space="preserve">kwalifikowalnych </w:t>
      </w:r>
      <w:r w:rsidR="00D33F82" w:rsidRPr="00767038">
        <w:rPr>
          <w:lang w:val="pl-PL"/>
        </w:rPr>
        <w:t xml:space="preserve">przeznaczonych na </w:t>
      </w:r>
      <w:r w:rsidRPr="00767038">
        <w:rPr>
          <w:lang w:val="pl-PL"/>
        </w:rPr>
        <w:t>podwykonawstw</w:t>
      </w:r>
      <w:r w:rsidR="00D33F82" w:rsidRPr="00767038">
        <w:rPr>
          <w:lang w:val="pl-PL"/>
        </w:rPr>
        <w:t>o</w:t>
      </w:r>
      <w:r w:rsidRPr="00767038">
        <w:rPr>
          <w:lang w:val="pl-PL"/>
        </w:rPr>
        <w:t xml:space="preserve"> i kosztów zasobów udostępnianych przez strony trzecie</w:t>
      </w:r>
      <w:r w:rsidR="00962AA6" w:rsidRPr="00767038">
        <w:rPr>
          <w:rStyle w:val="Odwoanieprzypisudolnego"/>
          <w:lang w:val="pl-PL"/>
        </w:rPr>
        <w:footnoteReference w:id="9"/>
      </w:r>
      <w:r w:rsidRPr="00767038">
        <w:rPr>
          <w:lang w:val="pl-PL"/>
        </w:rPr>
        <w:t xml:space="preserve">, których nie </w:t>
      </w:r>
      <w:r w:rsidR="00D33F82" w:rsidRPr="00767038">
        <w:rPr>
          <w:lang w:val="pl-PL"/>
        </w:rPr>
        <w:t>wy</w:t>
      </w:r>
      <w:r w:rsidRPr="00767038">
        <w:rPr>
          <w:lang w:val="pl-PL"/>
        </w:rPr>
        <w:t>korzyst</w:t>
      </w:r>
      <w:r w:rsidR="00D33F82" w:rsidRPr="00767038">
        <w:rPr>
          <w:lang w:val="pl-PL"/>
        </w:rPr>
        <w:t>uje</w:t>
      </w:r>
      <w:r w:rsidRPr="00767038">
        <w:rPr>
          <w:lang w:val="pl-PL"/>
        </w:rPr>
        <w:t xml:space="preserve"> się na terenie nieruchomości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 lub partnera projektu</w:t>
      </w:r>
      <w:r w:rsidR="00962AA6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Stawkę należy wyliczyć według sprawiedliwej, </w:t>
      </w:r>
      <w:r w:rsidR="00D33F82" w:rsidRPr="00767038">
        <w:rPr>
          <w:lang w:val="pl-PL"/>
        </w:rPr>
        <w:t>rzetelnej i weryfikowalnej</w:t>
      </w:r>
      <w:r w:rsidRPr="00767038">
        <w:rPr>
          <w:lang w:val="pl-PL"/>
        </w:rPr>
        <w:t xml:space="preserve"> metody </w:t>
      </w:r>
      <w:r w:rsidR="00D33F82" w:rsidRPr="00767038">
        <w:rPr>
          <w:lang w:val="pl-PL"/>
        </w:rPr>
        <w:t xml:space="preserve">obliczeniowej </w:t>
      </w:r>
      <w:r w:rsidRPr="00767038">
        <w:rPr>
          <w:lang w:val="pl-PL"/>
        </w:rPr>
        <w:t xml:space="preserve">lub metody stosowanej w systemach </w:t>
      </w:r>
      <w:r w:rsidR="00A35E94" w:rsidRPr="00767038">
        <w:rPr>
          <w:lang w:val="pl-PL"/>
        </w:rPr>
        <w:t>dofinansowania przyznawanego</w:t>
      </w:r>
      <w:r w:rsidR="00D33F82" w:rsidRPr="00767038">
        <w:rPr>
          <w:lang w:val="pl-PL"/>
        </w:rPr>
        <w:t xml:space="preserve"> całościowo przez Państwo-Beneficjenta</w:t>
      </w:r>
      <w:r w:rsidRPr="00767038">
        <w:rPr>
          <w:lang w:val="pl-PL"/>
        </w:rPr>
        <w:t xml:space="preserve"> w przypadku </w:t>
      </w:r>
      <w:r w:rsidR="00D33F82" w:rsidRPr="00767038">
        <w:rPr>
          <w:lang w:val="pl-PL"/>
        </w:rPr>
        <w:t>projektów i beneficjentów podobnego typu;</w:t>
      </w:r>
    </w:p>
    <w:p w:rsidR="00962AA6" w:rsidRPr="00767038" w:rsidRDefault="007A5CAF" w:rsidP="00767038">
      <w:pPr>
        <w:pStyle w:val="Akapitzlist"/>
        <w:numPr>
          <w:ilvl w:val="0"/>
          <w:numId w:val="7"/>
        </w:numPr>
        <w:rPr>
          <w:lang w:val="pl-PL"/>
        </w:rPr>
      </w:pPr>
      <w:r w:rsidRPr="00767038">
        <w:rPr>
          <w:lang w:val="pl-PL"/>
        </w:rPr>
        <w:t>stała</w:t>
      </w:r>
      <w:r w:rsidR="00D33F82" w:rsidRPr="00767038">
        <w:rPr>
          <w:lang w:val="pl-PL"/>
        </w:rPr>
        <w:t>, zryczałtowana</w:t>
      </w:r>
      <w:r w:rsidRPr="00767038">
        <w:rPr>
          <w:lang w:val="pl-PL"/>
        </w:rPr>
        <w:t xml:space="preserve"> stawka do </w:t>
      </w:r>
      <w:r w:rsidR="00962AA6" w:rsidRPr="00767038">
        <w:rPr>
          <w:lang w:val="pl-PL"/>
        </w:rPr>
        <w:t xml:space="preserve">15% </w:t>
      </w:r>
      <w:r w:rsidR="00D33F82" w:rsidRPr="00767038">
        <w:rPr>
          <w:lang w:val="pl-PL"/>
        </w:rPr>
        <w:t xml:space="preserve">bezpośrednich </w:t>
      </w:r>
      <w:r w:rsidRPr="00767038">
        <w:rPr>
          <w:lang w:val="pl-PL"/>
        </w:rPr>
        <w:t xml:space="preserve">kwalifikowalnych kosztów personelu bez </w:t>
      </w:r>
      <w:r w:rsidR="00D33F82" w:rsidRPr="00767038">
        <w:rPr>
          <w:lang w:val="pl-PL"/>
        </w:rPr>
        <w:t>potrzeby przeprowadzania</w:t>
      </w:r>
      <w:r w:rsidRPr="00767038">
        <w:rPr>
          <w:lang w:val="pl-PL"/>
        </w:rPr>
        <w:t xml:space="preserve"> przez </w:t>
      </w:r>
      <w:r w:rsidR="00315981" w:rsidRPr="00767038">
        <w:rPr>
          <w:lang w:val="pl-PL"/>
        </w:rPr>
        <w:t>Operator</w:t>
      </w:r>
      <w:r w:rsidR="00D33F82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</w:t>
      </w:r>
      <w:r w:rsidR="00D33F82" w:rsidRPr="00767038">
        <w:rPr>
          <w:lang w:val="pl-PL"/>
        </w:rPr>
        <w:t>obliczeń na potrzeby ustalenia</w:t>
      </w:r>
      <w:r w:rsidRPr="00767038">
        <w:rPr>
          <w:lang w:val="pl-PL"/>
        </w:rPr>
        <w:t xml:space="preserve"> stawki</w:t>
      </w:r>
      <w:r w:rsidR="00D33F82" w:rsidRPr="00767038">
        <w:rPr>
          <w:lang w:val="pl-PL"/>
        </w:rPr>
        <w:t xml:space="preserve"> mającej zastosowanie</w:t>
      </w:r>
      <w:r w:rsidR="00962AA6" w:rsidRPr="00767038">
        <w:rPr>
          <w:lang w:val="pl-PL"/>
        </w:rPr>
        <w:t>;</w:t>
      </w:r>
    </w:p>
    <w:p w:rsidR="00962AA6" w:rsidRPr="00767038" w:rsidRDefault="007A5CAF" w:rsidP="00767038">
      <w:pPr>
        <w:pStyle w:val="Akapitzlist"/>
        <w:numPr>
          <w:ilvl w:val="0"/>
          <w:numId w:val="7"/>
        </w:numPr>
        <w:rPr>
          <w:lang w:val="pl-PL"/>
        </w:rPr>
      </w:pPr>
      <w:r w:rsidRPr="00767038">
        <w:rPr>
          <w:lang w:val="pl-PL"/>
        </w:rPr>
        <w:t>stała</w:t>
      </w:r>
      <w:r w:rsidR="00D33F82" w:rsidRPr="00767038">
        <w:rPr>
          <w:lang w:val="pl-PL"/>
        </w:rPr>
        <w:t>, zryczałtowana</w:t>
      </w:r>
      <w:r w:rsidRPr="00767038">
        <w:rPr>
          <w:lang w:val="pl-PL"/>
        </w:rPr>
        <w:t xml:space="preserve"> stawka </w:t>
      </w:r>
      <w:r w:rsidR="002C7C33" w:rsidRPr="00767038">
        <w:rPr>
          <w:lang w:val="pl-PL"/>
        </w:rPr>
        <w:t>stosowanej</w:t>
      </w:r>
      <w:r w:rsidRPr="00767038">
        <w:rPr>
          <w:lang w:val="pl-PL"/>
        </w:rPr>
        <w:t xml:space="preserve"> do </w:t>
      </w:r>
      <w:r w:rsidR="002C7C33" w:rsidRPr="00767038">
        <w:rPr>
          <w:lang w:val="pl-PL"/>
        </w:rPr>
        <w:t xml:space="preserve">bezpośrednich kosztów </w:t>
      </w:r>
      <w:r w:rsidRPr="00767038">
        <w:rPr>
          <w:lang w:val="pl-PL"/>
        </w:rPr>
        <w:t xml:space="preserve">kwalifikowalnych </w:t>
      </w:r>
      <w:r w:rsidR="002C7C33" w:rsidRPr="00767038">
        <w:rPr>
          <w:lang w:val="pl-PL"/>
        </w:rPr>
        <w:t xml:space="preserve">na podstawie </w:t>
      </w:r>
      <w:r w:rsidR="00A35E94" w:rsidRPr="00767038">
        <w:rPr>
          <w:lang w:val="pl-PL"/>
        </w:rPr>
        <w:t>istniejących</w:t>
      </w:r>
      <w:r w:rsidRPr="00767038">
        <w:rPr>
          <w:lang w:val="pl-PL"/>
        </w:rPr>
        <w:t xml:space="preserve"> metod i odpowi</w:t>
      </w:r>
      <w:r w:rsidR="002C7C33" w:rsidRPr="00767038">
        <w:rPr>
          <w:lang w:val="pl-PL"/>
        </w:rPr>
        <w:t>adających</w:t>
      </w:r>
      <w:r w:rsidRPr="00767038">
        <w:rPr>
          <w:lang w:val="pl-PL"/>
        </w:rPr>
        <w:t xml:space="preserve"> staw</w:t>
      </w:r>
      <w:r w:rsidR="002C7C33" w:rsidRPr="00767038">
        <w:rPr>
          <w:lang w:val="pl-PL"/>
        </w:rPr>
        <w:t>e</w:t>
      </w:r>
      <w:r w:rsidRPr="00767038">
        <w:rPr>
          <w:lang w:val="pl-PL"/>
        </w:rPr>
        <w:t xml:space="preserve">k </w:t>
      </w:r>
      <w:r w:rsidR="002C7C33" w:rsidRPr="00767038">
        <w:rPr>
          <w:lang w:val="pl-PL"/>
        </w:rPr>
        <w:t>stosowanych</w:t>
      </w:r>
      <w:r w:rsidRPr="00767038">
        <w:rPr>
          <w:lang w:val="pl-PL"/>
        </w:rPr>
        <w:t xml:space="preserve"> w politykach Unii Europejskiej w </w:t>
      </w:r>
      <w:r w:rsidR="002C7C33" w:rsidRPr="00767038">
        <w:rPr>
          <w:lang w:val="pl-PL"/>
        </w:rPr>
        <w:t>przypadku podobnych</w:t>
      </w:r>
      <w:r w:rsidRPr="00767038">
        <w:rPr>
          <w:lang w:val="pl-PL"/>
        </w:rPr>
        <w:t xml:space="preserve"> rodzajów projektów i </w:t>
      </w:r>
      <w:r w:rsidR="00AC25C8" w:rsidRPr="00767038">
        <w:rPr>
          <w:lang w:val="pl-PL"/>
        </w:rPr>
        <w:t>beneficjent</w:t>
      </w:r>
      <w:r w:rsidR="002C7C33" w:rsidRPr="00767038">
        <w:rPr>
          <w:lang w:val="pl-PL"/>
        </w:rPr>
        <w:t>ów podobnego typu</w:t>
      </w:r>
      <w:r w:rsidR="00F86180" w:rsidRPr="00767038">
        <w:rPr>
          <w:lang w:val="pl-PL"/>
        </w:rPr>
        <w:t xml:space="preserve"> </w:t>
      </w:r>
      <w:r w:rsidR="00962AA6" w:rsidRPr="00767038">
        <w:rPr>
          <w:i/>
          <w:iCs/>
          <w:lang w:val="pl-PL"/>
        </w:rPr>
        <w:t>(</w:t>
      </w:r>
      <w:r w:rsidRPr="00767038">
        <w:rPr>
          <w:i/>
          <w:iCs/>
          <w:lang w:val="pl-PL"/>
        </w:rPr>
        <w:t>np. w programie „Horyzont 2020”</w:t>
      </w:r>
      <w:r w:rsidR="00962AA6" w:rsidRPr="00767038">
        <w:rPr>
          <w:i/>
          <w:iCs/>
          <w:lang w:val="pl-PL"/>
        </w:rPr>
        <w:t>);</w:t>
      </w:r>
    </w:p>
    <w:p w:rsidR="00962AA6" w:rsidRPr="00767038" w:rsidRDefault="007A5CAF" w:rsidP="00767038">
      <w:pPr>
        <w:pStyle w:val="Akapitzlist"/>
        <w:numPr>
          <w:ilvl w:val="0"/>
          <w:numId w:val="7"/>
        </w:numPr>
        <w:rPr>
          <w:lang w:val="pl-PL"/>
        </w:rPr>
      </w:pPr>
      <w:r w:rsidRPr="00767038">
        <w:rPr>
          <w:lang w:val="pl-PL"/>
        </w:rPr>
        <w:t xml:space="preserve">w przypadku </w:t>
      </w:r>
      <w:r w:rsidR="00AC25C8" w:rsidRPr="00767038">
        <w:rPr>
          <w:lang w:val="pl-PL"/>
        </w:rPr>
        <w:t>beneficjent</w:t>
      </w:r>
      <w:r w:rsidR="002C7C33" w:rsidRPr="00767038">
        <w:rPr>
          <w:lang w:val="pl-PL"/>
        </w:rPr>
        <w:t>ów</w:t>
      </w:r>
      <w:r w:rsidRPr="00767038">
        <w:rPr>
          <w:lang w:val="pl-PL"/>
        </w:rPr>
        <w:t xml:space="preserve"> lub partnerów projektów będących organizacjami międzynarodowymi lub ich organami lub oddziałami, koszty pośrednie mogą, zgodnie z</w:t>
      </w:r>
      <w:r w:rsidR="002C7C33" w:rsidRPr="00767038">
        <w:rPr>
          <w:lang w:val="pl-PL"/>
        </w:rPr>
        <w:t xml:space="preserve"> przepisami</w:t>
      </w:r>
      <w:r w:rsidRPr="00767038">
        <w:rPr>
          <w:lang w:val="pl-PL"/>
        </w:rPr>
        <w:t xml:space="preserve"> szczegó</w:t>
      </w:r>
      <w:r w:rsidR="002C7C33" w:rsidRPr="00767038">
        <w:rPr>
          <w:lang w:val="pl-PL"/>
        </w:rPr>
        <w:t>łowymi zawartymi w Umowie w sprawie programu</w:t>
      </w:r>
      <w:r w:rsidR="00A35E94" w:rsidRPr="00767038">
        <w:rPr>
          <w:lang w:val="pl-PL"/>
        </w:rPr>
        <w:t>,</w:t>
      </w:r>
      <w:r w:rsidRPr="00767038">
        <w:rPr>
          <w:lang w:val="pl-PL"/>
        </w:rPr>
        <w:t xml:space="preserve"> zostać określone </w:t>
      </w:r>
      <w:r w:rsidR="00F86180" w:rsidRPr="00767038">
        <w:rPr>
          <w:lang w:val="pl-PL"/>
        </w:rPr>
        <w:t xml:space="preserve">zgodnie z odpowiednimi zasadami </w:t>
      </w:r>
      <w:r w:rsidR="002C7C33" w:rsidRPr="00767038">
        <w:rPr>
          <w:lang w:val="pl-PL"/>
        </w:rPr>
        <w:t xml:space="preserve">ustanowionymi </w:t>
      </w:r>
      <w:r w:rsidRPr="00767038">
        <w:rPr>
          <w:lang w:val="pl-PL"/>
        </w:rPr>
        <w:t>przez takie organizacje</w:t>
      </w:r>
      <w:r w:rsidR="00962AA6" w:rsidRPr="00767038">
        <w:rPr>
          <w:lang w:val="pl-PL"/>
        </w:rPr>
        <w:t>.</w:t>
      </w:r>
    </w:p>
    <w:p w:rsidR="00962AA6" w:rsidRPr="00767038" w:rsidRDefault="007A5CAF" w:rsidP="00376576">
      <w:pPr>
        <w:rPr>
          <w:lang w:val="pl-PL"/>
        </w:rPr>
      </w:pPr>
      <w:r w:rsidRPr="00767038">
        <w:rPr>
          <w:lang w:val="pl-PL"/>
        </w:rPr>
        <w:t xml:space="preserve">Metodę </w:t>
      </w:r>
      <w:r w:rsidR="002C7C33" w:rsidRPr="00767038">
        <w:rPr>
          <w:lang w:val="pl-PL"/>
        </w:rPr>
        <w:t xml:space="preserve">obliczania </w:t>
      </w:r>
      <w:r w:rsidRPr="00767038">
        <w:rPr>
          <w:lang w:val="pl-PL"/>
        </w:rPr>
        <w:t xml:space="preserve">kosztów pośrednich i ich maksymalną </w:t>
      </w:r>
      <w:r w:rsidR="002C7C33" w:rsidRPr="00767038">
        <w:rPr>
          <w:lang w:val="pl-PL"/>
        </w:rPr>
        <w:t xml:space="preserve">wysokość </w:t>
      </w:r>
      <w:r w:rsidRPr="00767038">
        <w:rPr>
          <w:lang w:val="pl-PL"/>
        </w:rPr>
        <w:t xml:space="preserve">można określić w </w:t>
      </w:r>
      <w:r w:rsidR="002C7C33" w:rsidRPr="00767038">
        <w:rPr>
          <w:lang w:val="pl-PL"/>
        </w:rPr>
        <w:t>U</w:t>
      </w:r>
      <w:r w:rsidRPr="00767038">
        <w:rPr>
          <w:lang w:val="pl-PL"/>
        </w:rPr>
        <w:t xml:space="preserve">mowie w sprawie projektu i umowie partnerskiej między </w:t>
      </w:r>
      <w:r w:rsidR="00AC25C8" w:rsidRPr="00767038">
        <w:rPr>
          <w:lang w:val="pl-PL"/>
        </w:rPr>
        <w:t>beneficjent</w:t>
      </w:r>
      <w:r w:rsidR="00BE5194">
        <w:rPr>
          <w:lang w:val="pl-PL"/>
        </w:rPr>
        <w:t>em</w:t>
      </w:r>
      <w:r w:rsidRPr="00767038">
        <w:rPr>
          <w:lang w:val="pl-PL"/>
        </w:rPr>
        <w:t xml:space="preserve"> i partnerem projektu</w:t>
      </w:r>
      <w:r w:rsidR="00962AA6" w:rsidRPr="00767038">
        <w:rPr>
          <w:lang w:val="pl-PL"/>
        </w:rPr>
        <w:t xml:space="preserve">. </w:t>
      </w:r>
    </w:p>
    <w:p w:rsidR="00962AA6" w:rsidRPr="00767038" w:rsidRDefault="00315981" w:rsidP="00376576">
      <w:pPr>
        <w:rPr>
          <w:lang w:val="pl-PL"/>
        </w:rPr>
      </w:pPr>
      <w:r w:rsidRPr="00767038">
        <w:rPr>
          <w:lang w:val="pl-PL"/>
        </w:rPr>
        <w:t>Operator</w:t>
      </w:r>
      <w:r w:rsidR="002C7C33" w:rsidRPr="00767038">
        <w:rPr>
          <w:lang w:val="pl-PL"/>
        </w:rPr>
        <w:t>zy</w:t>
      </w:r>
      <w:r w:rsidRPr="00767038">
        <w:rPr>
          <w:lang w:val="pl-PL"/>
        </w:rPr>
        <w:t xml:space="preserve"> Programu</w:t>
      </w:r>
      <w:r w:rsidR="007A5CAF" w:rsidRPr="00767038">
        <w:rPr>
          <w:lang w:val="pl-PL"/>
        </w:rPr>
        <w:t xml:space="preserve"> powinni przemyśleć wykorzystanie me</w:t>
      </w:r>
      <w:r w:rsidR="00155C68" w:rsidRPr="00767038">
        <w:rPr>
          <w:lang w:val="pl-PL"/>
        </w:rPr>
        <w:t>tod</w:t>
      </w:r>
      <w:r w:rsidR="007A5CAF" w:rsidRPr="00767038">
        <w:rPr>
          <w:lang w:val="pl-PL"/>
        </w:rPr>
        <w:t>y kosztów pośrednich na wczesnym etapie przygotowania programu</w:t>
      </w:r>
      <w:r w:rsidR="00962AA6" w:rsidRPr="00767038">
        <w:rPr>
          <w:lang w:val="pl-PL"/>
        </w:rPr>
        <w:t>.</w:t>
      </w:r>
    </w:p>
    <w:p w:rsidR="00962AA6" w:rsidRDefault="007A5CAF" w:rsidP="00376576">
      <w:pPr>
        <w:rPr>
          <w:lang w:val="pl-PL"/>
        </w:rPr>
      </w:pPr>
      <w:r w:rsidRPr="00767038">
        <w:rPr>
          <w:lang w:val="pl-PL"/>
        </w:rPr>
        <w:t xml:space="preserve">W uzasadnionych przypadkach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może ograniczyć kwalifikowalność kosztów pośrednich. Takie ograniczenia wymagają zatwierdzenia przez BMF i należy je jednoznacznie określić w </w:t>
      </w:r>
      <w:r w:rsidR="002C7C33" w:rsidRPr="00767038">
        <w:rPr>
          <w:lang w:val="pl-PL"/>
        </w:rPr>
        <w:t>Umowie w sprawie programu</w:t>
      </w:r>
      <w:r w:rsidR="00962AA6" w:rsidRPr="00767038">
        <w:rPr>
          <w:lang w:val="pl-PL"/>
        </w:rPr>
        <w:t xml:space="preserve">. </w:t>
      </w:r>
    </w:p>
    <w:p w:rsidR="008C2068" w:rsidRPr="00767038" w:rsidRDefault="008C2068" w:rsidP="00376576">
      <w:pPr>
        <w:rPr>
          <w:lang w:val="pl-PL"/>
        </w:rPr>
      </w:pPr>
    </w:p>
    <w:p w:rsidR="00C17964" w:rsidRPr="00767038" w:rsidRDefault="004B18EE" w:rsidP="00A0039A">
      <w:pPr>
        <w:pStyle w:val="Nagwek2"/>
        <w:rPr>
          <w:lang w:val="pl-PL"/>
        </w:rPr>
      </w:pPr>
      <w:bookmarkStart w:id="52" w:name="_Ref462062685"/>
      <w:bookmarkStart w:id="53" w:name="_Ref462062660"/>
      <w:bookmarkStart w:id="54" w:name="_Ref462062630"/>
      <w:bookmarkStart w:id="55" w:name="_Toc505238510"/>
      <w:r w:rsidRPr="00767038">
        <w:rPr>
          <w:iCs/>
          <w:lang w:val="pl-PL"/>
        </w:rPr>
        <w:t>Standard</w:t>
      </w:r>
      <w:r w:rsidR="00F86180" w:rsidRPr="00767038">
        <w:rPr>
          <w:iCs/>
          <w:lang w:val="pl-PL"/>
        </w:rPr>
        <w:t xml:space="preserve">owe stawki </w:t>
      </w:r>
      <w:r w:rsidR="007A5CAF" w:rsidRPr="00767038">
        <w:rPr>
          <w:iCs/>
          <w:lang w:val="pl-PL"/>
        </w:rPr>
        <w:t>jednostkow</w:t>
      </w:r>
      <w:r w:rsidR="00F86180" w:rsidRPr="00767038">
        <w:rPr>
          <w:iCs/>
          <w:lang w:val="pl-PL"/>
        </w:rPr>
        <w:t xml:space="preserve">e </w:t>
      </w:r>
      <w:r w:rsidRPr="00767038">
        <w:rPr>
          <w:iCs/>
          <w:lang w:val="pl-PL"/>
        </w:rPr>
        <w:t>(</w:t>
      </w:r>
      <w:r w:rsidR="007A5CAF" w:rsidRPr="00767038">
        <w:rPr>
          <w:iCs/>
          <w:lang w:val="pl-PL"/>
        </w:rPr>
        <w:t>a</w:t>
      </w:r>
      <w:r w:rsidRPr="00767038">
        <w:rPr>
          <w:iCs/>
          <w:lang w:val="pl-PL"/>
        </w:rPr>
        <w:t>rt. 8.4</w:t>
      </w:r>
      <w:r w:rsidR="007A5CAF"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Pr="00767038">
        <w:rPr>
          <w:iCs/>
          <w:lang w:val="pl-PL"/>
        </w:rPr>
        <w:t>)</w:t>
      </w:r>
      <w:bookmarkEnd w:id="52"/>
      <w:bookmarkEnd w:id="53"/>
      <w:bookmarkEnd w:id="54"/>
      <w:bookmarkEnd w:id="55"/>
    </w:p>
    <w:p w:rsidR="009B09B4" w:rsidRPr="00767038" w:rsidRDefault="007A5CAF" w:rsidP="00376576">
      <w:pPr>
        <w:rPr>
          <w:lang w:val="pl-PL"/>
        </w:rPr>
      </w:pPr>
      <w:r w:rsidRPr="00767038">
        <w:rPr>
          <w:lang w:val="pl-PL"/>
        </w:rPr>
        <w:t>Dofinansowanie projekt</w:t>
      </w:r>
      <w:r w:rsidR="001C555E" w:rsidRPr="00767038">
        <w:rPr>
          <w:lang w:val="pl-PL"/>
        </w:rPr>
        <w:t>u</w:t>
      </w:r>
      <w:r w:rsidRPr="00767038">
        <w:rPr>
          <w:lang w:val="pl-PL"/>
        </w:rPr>
        <w:t xml:space="preserve"> może </w:t>
      </w:r>
      <w:r w:rsidR="001C555E" w:rsidRPr="00767038">
        <w:rPr>
          <w:lang w:val="pl-PL"/>
        </w:rPr>
        <w:t>mieć</w:t>
      </w:r>
      <w:r w:rsidRPr="00767038">
        <w:rPr>
          <w:lang w:val="pl-PL"/>
        </w:rPr>
        <w:t xml:space="preserve"> formę </w:t>
      </w:r>
      <w:r w:rsidR="00F86180" w:rsidRPr="00767038">
        <w:rPr>
          <w:lang w:val="pl-PL"/>
        </w:rPr>
        <w:t>standardowych stawek</w:t>
      </w:r>
      <w:r w:rsidR="00481F9D">
        <w:rPr>
          <w:lang w:val="pl-PL"/>
        </w:rPr>
        <w:t xml:space="preserve"> kosztów</w:t>
      </w:r>
      <w:r w:rsidRPr="00767038">
        <w:rPr>
          <w:lang w:val="pl-PL"/>
        </w:rPr>
        <w:t xml:space="preserve"> jednostkowych i może zostać ustalon</w:t>
      </w:r>
      <w:r w:rsidR="00481F9D">
        <w:rPr>
          <w:lang w:val="pl-PL"/>
        </w:rPr>
        <w:t>a</w:t>
      </w:r>
      <w:r w:rsidRPr="00767038">
        <w:rPr>
          <w:lang w:val="pl-PL"/>
        </w:rPr>
        <w:t xml:space="preserve"> w</w:t>
      </w:r>
      <w:r w:rsidR="00155C68" w:rsidRPr="00767038">
        <w:rPr>
          <w:lang w:val="pl-PL"/>
        </w:rPr>
        <w:t xml:space="preserve"> jeden z następujących sposobów</w:t>
      </w:r>
      <w:r w:rsidR="009B09B4" w:rsidRPr="00767038">
        <w:rPr>
          <w:lang w:val="pl-PL"/>
        </w:rPr>
        <w:t>:</w:t>
      </w:r>
    </w:p>
    <w:p w:rsidR="009B09B4" w:rsidRPr="00767038" w:rsidRDefault="00155C68" w:rsidP="00767038">
      <w:pPr>
        <w:pStyle w:val="Akapitzlist"/>
        <w:numPr>
          <w:ilvl w:val="0"/>
          <w:numId w:val="19"/>
        </w:numPr>
        <w:rPr>
          <w:lang w:val="pl-PL"/>
        </w:rPr>
      </w:pPr>
      <w:r w:rsidRPr="00767038">
        <w:rPr>
          <w:lang w:val="pl-PL"/>
        </w:rPr>
        <w:t>zgodnie z zasadami stosowania odpowi</w:t>
      </w:r>
      <w:r w:rsidR="001C555E" w:rsidRPr="00767038">
        <w:rPr>
          <w:lang w:val="pl-PL"/>
        </w:rPr>
        <w:t>adających</w:t>
      </w:r>
      <w:r w:rsidR="00F86180" w:rsidRPr="00767038">
        <w:rPr>
          <w:lang w:val="pl-PL"/>
        </w:rPr>
        <w:t xml:space="preserve"> stawek</w:t>
      </w:r>
      <w:r w:rsidRPr="00767038">
        <w:rPr>
          <w:lang w:val="pl-PL"/>
        </w:rPr>
        <w:t xml:space="preserve"> </w:t>
      </w:r>
      <w:r w:rsidR="001C555E" w:rsidRPr="00767038">
        <w:rPr>
          <w:lang w:val="pl-PL"/>
        </w:rPr>
        <w:t xml:space="preserve">kosztów </w:t>
      </w:r>
      <w:r w:rsidR="00A35E94" w:rsidRPr="00767038">
        <w:rPr>
          <w:lang w:val="pl-PL"/>
        </w:rPr>
        <w:t>jednostkowych stosowanych</w:t>
      </w:r>
      <w:r w:rsidR="001C555E" w:rsidRPr="00767038">
        <w:rPr>
          <w:lang w:val="pl-PL"/>
        </w:rPr>
        <w:t xml:space="preserve"> w ramach </w:t>
      </w:r>
      <w:r w:rsidRPr="00767038">
        <w:rPr>
          <w:lang w:val="pl-PL"/>
        </w:rPr>
        <w:t xml:space="preserve">polityk Unii Europejskiej </w:t>
      </w:r>
      <w:r w:rsidR="001C555E" w:rsidRPr="00767038">
        <w:rPr>
          <w:lang w:val="pl-PL"/>
        </w:rPr>
        <w:t>w odniesieniu do podobnych</w:t>
      </w:r>
      <w:r w:rsidRPr="00767038">
        <w:rPr>
          <w:lang w:val="pl-PL"/>
        </w:rPr>
        <w:t xml:space="preserve"> rodzajów projektów i </w:t>
      </w:r>
      <w:r w:rsidR="001C555E" w:rsidRPr="00767038">
        <w:rPr>
          <w:lang w:val="pl-PL"/>
        </w:rPr>
        <w:t xml:space="preserve">podmiotów </w:t>
      </w:r>
      <w:r w:rsidRPr="00767038">
        <w:rPr>
          <w:lang w:val="pl-PL"/>
        </w:rPr>
        <w:t>zaangażowanych</w:t>
      </w:r>
      <w:r w:rsidR="009B09B4" w:rsidRPr="00767038">
        <w:rPr>
          <w:lang w:val="pl-PL"/>
        </w:rPr>
        <w:t>;</w:t>
      </w:r>
    </w:p>
    <w:p w:rsidR="009B09B4" w:rsidRPr="00767038" w:rsidRDefault="00155C68" w:rsidP="00767038">
      <w:pPr>
        <w:pStyle w:val="Akapitzlist"/>
        <w:numPr>
          <w:ilvl w:val="0"/>
          <w:numId w:val="19"/>
        </w:numPr>
        <w:rPr>
          <w:lang w:val="pl-PL"/>
        </w:rPr>
      </w:pPr>
      <w:r w:rsidRPr="00767038">
        <w:rPr>
          <w:lang w:val="pl-PL"/>
        </w:rPr>
        <w:t xml:space="preserve">zgodnie z zasadami stosowania </w:t>
      </w:r>
      <w:r w:rsidR="00A35E94" w:rsidRPr="00767038">
        <w:rPr>
          <w:lang w:val="pl-PL"/>
        </w:rPr>
        <w:t>odpowiadających</w:t>
      </w:r>
      <w:r w:rsidR="00F86180" w:rsidRPr="00767038">
        <w:rPr>
          <w:lang w:val="pl-PL"/>
        </w:rPr>
        <w:t xml:space="preserve"> stawek </w:t>
      </w:r>
      <w:r w:rsidR="001C555E" w:rsidRPr="00767038">
        <w:rPr>
          <w:lang w:val="pl-PL"/>
        </w:rPr>
        <w:t xml:space="preserve">kosztów </w:t>
      </w:r>
      <w:r w:rsidRPr="00767038">
        <w:rPr>
          <w:lang w:val="pl-PL"/>
        </w:rPr>
        <w:t>jednostkowych</w:t>
      </w:r>
      <w:r w:rsidR="00F86180" w:rsidRPr="00767038">
        <w:rPr>
          <w:lang w:val="pl-PL"/>
        </w:rPr>
        <w:t xml:space="preserve"> </w:t>
      </w:r>
      <w:r w:rsidR="001C555E" w:rsidRPr="00767038">
        <w:rPr>
          <w:lang w:val="pl-PL"/>
        </w:rPr>
        <w:t xml:space="preserve">stosowanych w ramach schematów grantowych finansowanych w całości przez </w:t>
      </w:r>
      <w:r w:rsidR="001C555E" w:rsidRPr="00767038">
        <w:rPr>
          <w:lang w:val="pl-PL"/>
        </w:rPr>
        <w:lastRenderedPageBreak/>
        <w:t>Państwo-Beneficjenta, gdzie ma</w:t>
      </w:r>
      <w:r w:rsidRPr="00767038">
        <w:rPr>
          <w:lang w:val="pl-PL"/>
        </w:rPr>
        <w:t xml:space="preserve"> siedzibę </w:t>
      </w:r>
      <w:r w:rsidR="00AC25C8" w:rsidRPr="00767038">
        <w:rPr>
          <w:lang w:val="pl-PL"/>
        </w:rPr>
        <w:t>beneficjent</w:t>
      </w:r>
      <w:r w:rsidRPr="00767038">
        <w:rPr>
          <w:lang w:val="pl-PL"/>
        </w:rPr>
        <w:t xml:space="preserve"> lub partner, lub </w:t>
      </w:r>
      <w:r w:rsidR="001C555E" w:rsidRPr="00767038">
        <w:rPr>
          <w:lang w:val="pl-PL"/>
        </w:rPr>
        <w:t>przez P</w:t>
      </w:r>
      <w:r w:rsidRPr="00767038">
        <w:rPr>
          <w:lang w:val="pl-PL"/>
        </w:rPr>
        <w:t>aństw</w:t>
      </w:r>
      <w:r w:rsidR="001C555E" w:rsidRPr="00767038">
        <w:rPr>
          <w:lang w:val="pl-PL"/>
        </w:rPr>
        <w:t>a</w:t>
      </w:r>
      <w:r w:rsidRPr="00767038">
        <w:rPr>
          <w:lang w:val="pl-PL"/>
        </w:rPr>
        <w:t>-</w:t>
      </w:r>
      <w:r w:rsidR="001C555E" w:rsidRPr="00767038">
        <w:rPr>
          <w:lang w:val="pl-PL"/>
        </w:rPr>
        <w:t>D</w:t>
      </w:r>
      <w:r w:rsidRPr="00767038">
        <w:rPr>
          <w:lang w:val="pl-PL"/>
        </w:rPr>
        <w:t>arczyńc</w:t>
      </w:r>
      <w:r w:rsidR="001C555E" w:rsidRPr="00767038">
        <w:rPr>
          <w:lang w:val="pl-PL"/>
        </w:rPr>
        <w:t>ów</w:t>
      </w:r>
      <w:r w:rsidRPr="00767038">
        <w:rPr>
          <w:lang w:val="pl-PL"/>
        </w:rPr>
        <w:t xml:space="preserve">, </w:t>
      </w:r>
      <w:r w:rsidR="001C555E" w:rsidRPr="00767038">
        <w:rPr>
          <w:lang w:val="pl-PL"/>
        </w:rPr>
        <w:t>gdzie ma</w:t>
      </w:r>
      <w:r w:rsidRPr="00767038">
        <w:rPr>
          <w:lang w:val="pl-PL"/>
        </w:rPr>
        <w:t xml:space="preserve"> siedzibę </w:t>
      </w:r>
      <w:r w:rsidR="00BA5A30" w:rsidRPr="00767038">
        <w:rPr>
          <w:lang w:val="pl-PL"/>
        </w:rPr>
        <w:t>partner projektu z Państw-Darczyńców</w:t>
      </w:r>
      <w:r w:rsidRPr="00767038">
        <w:rPr>
          <w:lang w:val="pl-PL"/>
        </w:rPr>
        <w:t xml:space="preserve">, w odniesieniu do </w:t>
      </w:r>
      <w:r w:rsidR="001C555E" w:rsidRPr="00767038">
        <w:rPr>
          <w:lang w:val="pl-PL"/>
        </w:rPr>
        <w:t>podobnych</w:t>
      </w:r>
      <w:r w:rsidRPr="00767038">
        <w:rPr>
          <w:lang w:val="pl-PL"/>
        </w:rPr>
        <w:t xml:space="preserve"> rodzajów projektów i </w:t>
      </w:r>
      <w:r w:rsidR="001C555E" w:rsidRPr="00767038">
        <w:rPr>
          <w:lang w:val="pl-PL"/>
        </w:rPr>
        <w:t xml:space="preserve">podmiotów </w:t>
      </w:r>
      <w:r w:rsidRPr="00767038">
        <w:rPr>
          <w:lang w:val="pl-PL"/>
        </w:rPr>
        <w:t>zaangażowanych</w:t>
      </w:r>
      <w:r w:rsidR="009B09B4" w:rsidRPr="00767038">
        <w:rPr>
          <w:lang w:val="pl-PL"/>
        </w:rPr>
        <w:t>.</w:t>
      </w:r>
    </w:p>
    <w:p w:rsidR="009B09B4" w:rsidRPr="00767038" w:rsidRDefault="00155C68" w:rsidP="00376576">
      <w:pPr>
        <w:rPr>
          <w:lang w:val="pl-PL"/>
        </w:rPr>
      </w:pPr>
      <w:r w:rsidRPr="00767038">
        <w:rPr>
          <w:lang w:val="pl-PL"/>
        </w:rPr>
        <w:t>Niezbędna jest indywidualna analiza możliwości ponownego wykorzystania dostępnych stawek i podejścia wypracowanego dla pozostałych programów UE i dotacji krajowych</w:t>
      </w:r>
      <w:r w:rsidR="009B09B4" w:rsidRPr="00767038">
        <w:rPr>
          <w:lang w:val="pl-PL"/>
        </w:rPr>
        <w:t>.</w:t>
      </w:r>
      <w:r w:rsidRPr="00767038">
        <w:rPr>
          <w:lang w:val="pl-PL"/>
        </w:rPr>
        <w:t xml:space="preserve"> Wykorzystując ponownie dostępną metodę, </w:t>
      </w:r>
      <w:r w:rsidR="00315981" w:rsidRPr="00767038">
        <w:rPr>
          <w:lang w:val="pl-PL"/>
        </w:rPr>
        <w:t>Operator</w:t>
      </w:r>
      <w:r w:rsidR="00A03C92" w:rsidRPr="00767038">
        <w:rPr>
          <w:lang w:val="pl-PL"/>
        </w:rPr>
        <w:t>zy</w:t>
      </w:r>
      <w:r w:rsidR="00315981" w:rsidRPr="00767038">
        <w:rPr>
          <w:lang w:val="pl-PL"/>
        </w:rPr>
        <w:t xml:space="preserve"> Program</w:t>
      </w:r>
      <w:r w:rsidR="00A03C92" w:rsidRPr="00767038">
        <w:rPr>
          <w:lang w:val="pl-PL"/>
        </w:rPr>
        <w:t>ów</w:t>
      </w:r>
      <w:r w:rsidRPr="00767038">
        <w:rPr>
          <w:lang w:val="pl-PL"/>
        </w:rPr>
        <w:t xml:space="preserve"> powinni </w:t>
      </w:r>
      <w:r w:rsidR="00BE39D4" w:rsidRPr="00767038">
        <w:rPr>
          <w:lang w:val="pl-PL"/>
        </w:rPr>
        <w:t>zapewnić</w:t>
      </w:r>
      <w:r w:rsidRPr="00767038">
        <w:rPr>
          <w:lang w:val="pl-PL"/>
        </w:rPr>
        <w:t xml:space="preserve"> stosowanie całkowitej metody oraz stosowanie tej samej metody w przypadku </w:t>
      </w:r>
      <w:r w:rsidR="00A03C92" w:rsidRPr="00767038">
        <w:rPr>
          <w:lang w:val="pl-PL"/>
        </w:rPr>
        <w:t xml:space="preserve">podobnych </w:t>
      </w:r>
      <w:r w:rsidRPr="00767038">
        <w:rPr>
          <w:lang w:val="pl-PL"/>
        </w:rPr>
        <w:t xml:space="preserve">rodzajów projektów i </w:t>
      </w:r>
      <w:r w:rsidR="00A03C92" w:rsidRPr="00767038">
        <w:rPr>
          <w:lang w:val="pl-PL"/>
        </w:rPr>
        <w:t xml:space="preserve">podmiotów </w:t>
      </w:r>
      <w:r w:rsidRPr="00767038">
        <w:rPr>
          <w:lang w:val="pl-PL"/>
        </w:rPr>
        <w:t>zaangażowanych</w:t>
      </w:r>
      <w:r w:rsidR="009B09B4" w:rsidRPr="00767038">
        <w:rPr>
          <w:lang w:val="pl-PL"/>
        </w:rPr>
        <w:t xml:space="preserve">. </w:t>
      </w:r>
    </w:p>
    <w:p w:rsidR="009B09B4" w:rsidRPr="00767038" w:rsidRDefault="00315981" w:rsidP="00376576">
      <w:pPr>
        <w:rPr>
          <w:lang w:val="pl-PL"/>
        </w:rPr>
      </w:pPr>
      <w:r w:rsidRPr="00767038">
        <w:rPr>
          <w:lang w:val="pl-PL"/>
        </w:rPr>
        <w:t>Operator</w:t>
      </w:r>
      <w:r w:rsidR="00A03C92" w:rsidRPr="00767038">
        <w:rPr>
          <w:lang w:val="pl-PL"/>
        </w:rPr>
        <w:t>zy</w:t>
      </w:r>
      <w:r w:rsidRPr="00767038">
        <w:rPr>
          <w:lang w:val="pl-PL"/>
        </w:rPr>
        <w:t xml:space="preserve"> Program</w:t>
      </w:r>
      <w:r w:rsidR="00A03C92" w:rsidRPr="00767038">
        <w:rPr>
          <w:lang w:val="pl-PL"/>
        </w:rPr>
        <w:t>ów</w:t>
      </w:r>
      <w:r w:rsidR="009F71BC" w:rsidRPr="00767038">
        <w:rPr>
          <w:lang w:val="pl-PL"/>
        </w:rPr>
        <w:t xml:space="preserve"> powinni rozważyć metodę, zakres stosowania</w:t>
      </w:r>
      <w:r w:rsidR="009B09B4" w:rsidRPr="00767038">
        <w:rPr>
          <w:lang w:val="pl-PL"/>
        </w:rPr>
        <w:t xml:space="preserve"> (</w:t>
      </w:r>
      <w:r w:rsidR="009F71BC" w:rsidRPr="00767038">
        <w:rPr>
          <w:lang w:val="pl-PL"/>
        </w:rPr>
        <w:t>tj</w:t>
      </w:r>
      <w:r w:rsidR="009B09B4" w:rsidRPr="00767038">
        <w:rPr>
          <w:lang w:val="pl-PL"/>
        </w:rPr>
        <w:t xml:space="preserve">. </w:t>
      </w:r>
      <w:r w:rsidR="009F71BC" w:rsidRPr="00767038">
        <w:rPr>
          <w:lang w:val="pl-PL"/>
        </w:rPr>
        <w:t>kategorię projektów i działań, dla których będą mieć zastosowanie) i warunki płatności</w:t>
      </w:r>
      <w:r w:rsidR="00A03C92" w:rsidRPr="00767038">
        <w:rPr>
          <w:lang w:val="pl-PL"/>
        </w:rPr>
        <w:t>,</w:t>
      </w:r>
      <w:r w:rsidR="009F71BC" w:rsidRPr="00767038">
        <w:rPr>
          <w:lang w:val="pl-PL"/>
        </w:rPr>
        <w:t xml:space="preserve"> na wczesnym etapie przygotowania programu i opublikować w dokumencie ustalającym warunki finansowania, np. w treści </w:t>
      </w:r>
      <w:r w:rsidR="00A03C92" w:rsidRPr="00767038">
        <w:rPr>
          <w:lang w:val="pl-PL"/>
        </w:rPr>
        <w:t>ogłoszenia o naborze</w:t>
      </w:r>
      <w:r w:rsidR="009B09B4" w:rsidRPr="00767038">
        <w:rPr>
          <w:lang w:val="pl-PL"/>
        </w:rPr>
        <w:t>.</w:t>
      </w:r>
    </w:p>
    <w:p w:rsidR="009B09B4" w:rsidRPr="00767038" w:rsidRDefault="00FB2938" w:rsidP="00376576">
      <w:pPr>
        <w:rPr>
          <w:lang w:val="pl-PL"/>
        </w:rPr>
      </w:pPr>
      <w:r>
        <w:rPr>
          <w:rFonts w:eastAsiaTheme="minorEastAsia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DE2A78A" wp14:editId="7B426432">
                <wp:simplePos x="0" y="0"/>
                <wp:positionH relativeFrom="column">
                  <wp:posOffset>38100</wp:posOffset>
                </wp:positionH>
                <wp:positionV relativeFrom="paragraph">
                  <wp:posOffset>580390</wp:posOffset>
                </wp:positionV>
                <wp:extent cx="5667375" cy="2695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9F71BC" w:rsidRDefault="00C522D7" w:rsidP="00ED13FE">
                            <w:pPr>
                              <w:rPr>
                                <w:b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9F71BC">
                              <w:rPr>
                                <w:b/>
                                <w:bCs/>
                                <w:sz w:val="18"/>
                                <w:szCs w:val="20"/>
                                <w:lang w:val="pl-PL"/>
                              </w:rPr>
                              <w:t xml:space="preserve">Przykład </w:t>
                            </w:r>
                            <w:r w:rsidRPr="009F71BC">
                              <w:rPr>
                                <w:sz w:val="18"/>
                                <w:szCs w:val="20"/>
                                <w:lang w:val="pl-PL"/>
                              </w:rPr>
                              <w:t>- dofinansowanie na pokrycie kosztów podróży (program „Erasmus+”):</w:t>
                            </w:r>
                          </w:p>
                          <w:p w:rsidR="00C522D7" w:rsidRPr="009F71BC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9F71BC">
                              <w:rPr>
                                <w:sz w:val="18"/>
                                <w:szCs w:val="20"/>
                                <w:lang w:val="pl-PL"/>
                              </w:rPr>
                              <w:t>głównym elementem określonych rodzajów projektów w obszarze badań i rozwoju i innowacji są często koszty personelu. Zastosowanie standardow</w:t>
                            </w:r>
                            <w:r>
                              <w:rPr>
                                <w:sz w:val="18"/>
                                <w:szCs w:val="20"/>
                                <w:lang w:val="pl-PL"/>
                              </w:rPr>
                              <w:t xml:space="preserve">ych stawek kosztów </w:t>
                            </w:r>
                            <w:r w:rsidRPr="009F71BC">
                              <w:rPr>
                                <w:sz w:val="18"/>
                                <w:szCs w:val="20"/>
                                <w:lang w:val="pl-PL"/>
                              </w:rPr>
                              <w:t>jednostkowych wyraża się w takim przypadku stawką godzinową, która ma zastosowanie do godzin efektywnie przepracowanych przez personel. Jest ona ustalana z góry w dokumencie określającym warunki wsparcia, które determinuj</w:t>
                            </w:r>
                            <w:r>
                              <w:rPr>
                                <w:sz w:val="18"/>
                                <w:szCs w:val="20"/>
                                <w:lang w:val="pl-PL"/>
                              </w:rPr>
                              <w:t>ą</w:t>
                            </w:r>
                            <w:r w:rsidRPr="009F71BC">
                              <w:rPr>
                                <w:sz w:val="18"/>
                                <w:szCs w:val="20"/>
                                <w:lang w:val="pl-PL"/>
                              </w:rPr>
                              <w:t xml:space="preserve"> maksymalną kwotę pomocy finansowej jako maksymalną liczbę przepracowanych godzin pomnożoną przez koszt jednostkowy. </w:t>
                            </w:r>
                          </w:p>
                          <w:p w:rsidR="00C522D7" w:rsidRPr="00265F1A" w:rsidRDefault="00C522D7" w:rsidP="00B0619B">
                            <w:pPr>
                              <w:rPr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20"/>
                                <w:lang w:val="pl-PL"/>
                              </w:rPr>
                              <w:t xml:space="preserve">Pozostałe przykłady, które mogą wchodzić w ten zakres: </w:t>
                            </w:r>
                          </w:p>
                          <w:p w:rsidR="00C522D7" w:rsidRPr="00265F1A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20"/>
                                <w:lang w:val="pl-PL"/>
                              </w:rPr>
                              <w:t>koszty związane bezpośrednio z utrzymaniem uczestników w trakcie realizacji projektu (w oparciu o okres pobytu na uczestnika),</w:t>
                            </w:r>
                          </w:p>
                          <w:p w:rsidR="00C522D7" w:rsidRPr="00265F1A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20"/>
                                <w:lang w:val="pl-PL"/>
                              </w:rPr>
                              <w:t xml:space="preserve">jednostkowe koszty dzienne pracy na projekcie według kategorii personelu w odniesieniu do materialnych wyników projektu (w tym materiały, narzędzia, analizy, badania, metody itd.). </w:t>
                            </w:r>
                          </w:p>
                          <w:p w:rsidR="00C522D7" w:rsidRPr="00265F1A" w:rsidRDefault="00C522D7">
                            <w:pPr>
                              <w:rPr>
                                <w:sz w:val="18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pt;margin-top:45.7pt;width:446.25pt;height:212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">
                <v:textbox>
                  <w:txbxContent>
                    <w:p w:rsidR="00C522D7" w:rsidRPr="009F71BC" w:rsidRDefault="00C522D7" w:rsidP="00ED13FE">
                      <w:pPr>
                        <w:rPr>
                          <w:b/>
                          <w:sz w:val="18"/>
                          <w:szCs w:val="20"/>
                          <w:lang w:val="pl-PL"/>
                        </w:rPr>
                      </w:pPr>
                      <w:r w:rsidRPr="009F71BC">
                        <w:rPr>
                          <w:b/>
                          <w:bCs/>
                          <w:sz w:val="18"/>
                          <w:szCs w:val="20"/>
                          <w:lang w:val="pl-PL"/>
                        </w:rPr>
                        <w:t xml:space="preserve">Przykład </w:t>
                      </w:r>
                      <w:r w:rsidRPr="009F71BC">
                        <w:rPr>
                          <w:sz w:val="18"/>
                          <w:szCs w:val="20"/>
                          <w:lang w:val="pl-PL"/>
                        </w:rPr>
                        <w:t>- dofinansowanie na pokrycie kosztów podróży (program „Erasmus+”):</w:t>
                      </w:r>
                    </w:p>
                    <w:p w:rsidR="00C522D7" w:rsidRPr="009F71BC" w:rsidRDefault="00C522D7" w:rsidP="00767038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20"/>
                          <w:lang w:val="pl-PL"/>
                        </w:rPr>
                      </w:pPr>
                      <w:r w:rsidRPr="009F71BC">
                        <w:rPr>
                          <w:sz w:val="18"/>
                          <w:szCs w:val="20"/>
                          <w:lang w:val="pl-PL"/>
                        </w:rPr>
                        <w:t>głównym elementem określonych rodzajów projektów w obszarze badań i rozwoju i innowacji są często koszty personelu. Zastosowanie standardow</w:t>
                      </w:r>
                      <w:r>
                        <w:rPr>
                          <w:sz w:val="18"/>
                          <w:szCs w:val="20"/>
                          <w:lang w:val="pl-PL"/>
                        </w:rPr>
                        <w:t xml:space="preserve">ych stawek kosztów </w:t>
                      </w:r>
                      <w:r w:rsidRPr="009F71BC">
                        <w:rPr>
                          <w:sz w:val="18"/>
                          <w:szCs w:val="20"/>
                          <w:lang w:val="pl-PL"/>
                        </w:rPr>
                        <w:t>jednostkowych wyraża się w takim przypadku stawką godzinową, która ma zastosowanie do godzin efektywnie przepracowanych przez personel. Jest ona ustalana z góry w dokumencie określającym warunki wsparcia, które determinuj</w:t>
                      </w:r>
                      <w:r>
                        <w:rPr>
                          <w:sz w:val="18"/>
                          <w:szCs w:val="20"/>
                          <w:lang w:val="pl-PL"/>
                        </w:rPr>
                        <w:t>ą</w:t>
                      </w:r>
                      <w:r w:rsidRPr="009F71BC">
                        <w:rPr>
                          <w:sz w:val="18"/>
                          <w:szCs w:val="20"/>
                          <w:lang w:val="pl-PL"/>
                        </w:rPr>
                        <w:t xml:space="preserve"> maksymalną kwotę pomocy finansowej jako maksymalną liczbę przepracowanych godzin pomnożoną przez koszt jednostkowy. </w:t>
                      </w:r>
                    </w:p>
                    <w:p w:rsidR="00C522D7" w:rsidRPr="00265F1A" w:rsidRDefault="00C522D7" w:rsidP="00B0619B">
                      <w:pPr>
                        <w:rPr>
                          <w:sz w:val="18"/>
                          <w:szCs w:val="20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20"/>
                          <w:lang w:val="pl-PL"/>
                        </w:rPr>
                        <w:t xml:space="preserve">Pozostałe przykłady, które mogą wchodzić w ten zakres: </w:t>
                      </w:r>
                    </w:p>
                    <w:p w:rsidR="00C522D7" w:rsidRPr="00265F1A" w:rsidRDefault="00C522D7" w:rsidP="00767038">
                      <w:pPr>
                        <w:pStyle w:val="Akapitzlist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20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20"/>
                          <w:lang w:val="pl-PL"/>
                        </w:rPr>
                        <w:t>koszty związane bezpośrednio z utrzymaniem uczestników w trakcie realizacji projektu (w oparciu o okres pobytu na uczestnika),</w:t>
                      </w:r>
                    </w:p>
                    <w:p w:rsidR="00C522D7" w:rsidRPr="00265F1A" w:rsidRDefault="00C522D7" w:rsidP="00767038">
                      <w:pPr>
                        <w:pStyle w:val="Akapitzlist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20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20"/>
                          <w:lang w:val="pl-PL"/>
                        </w:rPr>
                        <w:t xml:space="preserve">jednostkowe koszty dzienne pracy na projekcie według kategorii personelu w odniesieniu do materialnych wyników projektu (w tym materiały, narzędzia, analizy, badania, metody itd.). </w:t>
                      </w:r>
                    </w:p>
                    <w:p w:rsidR="00C522D7" w:rsidRPr="00265F1A" w:rsidRDefault="00C522D7">
                      <w:pPr>
                        <w:rPr>
                          <w:sz w:val="18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1BC" w:rsidRPr="00767038">
        <w:rPr>
          <w:lang w:val="pl-PL"/>
        </w:rPr>
        <w:t xml:space="preserve">Ich wykorzystanie, kwotę i sposób ustalenia należy określić w </w:t>
      </w:r>
      <w:r w:rsidR="00A03C92" w:rsidRPr="00767038">
        <w:rPr>
          <w:lang w:val="pl-PL"/>
        </w:rPr>
        <w:t>U</w:t>
      </w:r>
      <w:r w:rsidR="009F71BC" w:rsidRPr="00767038">
        <w:rPr>
          <w:lang w:val="pl-PL"/>
        </w:rPr>
        <w:t xml:space="preserve">mowie w sprawie projektu i </w:t>
      </w:r>
      <w:r w:rsidR="00A03C92" w:rsidRPr="00767038">
        <w:rPr>
          <w:lang w:val="pl-PL"/>
        </w:rPr>
        <w:t>U</w:t>
      </w:r>
      <w:r w:rsidR="009F71BC" w:rsidRPr="00767038">
        <w:rPr>
          <w:lang w:val="pl-PL"/>
        </w:rPr>
        <w:t xml:space="preserve">mowie partnerskiej między </w:t>
      </w:r>
      <w:r w:rsidR="00AC25C8" w:rsidRPr="00767038">
        <w:rPr>
          <w:lang w:val="pl-PL"/>
        </w:rPr>
        <w:t>beneficjent</w:t>
      </w:r>
      <w:r w:rsidR="00A03C92" w:rsidRPr="00767038">
        <w:rPr>
          <w:lang w:val="pl-PL"/>
        </w:rPr>
        <w:t>em</w:t>
      </w:r>
      <w:r w:rsidR="009F71BC" w:rsidRPr="00767038">
        <w:rPr>
          <w:lang w:val="pl-PL"/>
        </w:rPr>
        <w:t xml:space="preserve"> i partnerem projektu</w:t>
      </w:r>
      <w:r w:rsidR="009B09B4" w:rsidRPr="00767038">
        <w:rPr>
          <w:lang w:val="pl-PL"/>
        </w:rPr>
        <w:t>.</w:t>
      </w:r>
    </w:p>
    <w:p w:rsidR="009B09B4" w:rsidRPr="00767038" w:rsidRDefault="000C0590" w:rsidP="00376576">
      <w:pPr>
        <w:rPr>
          <w:lang w:val="pl-PL"/>
        </w:rPr>
      </w:pPr>
      <w:r w:rsidRPr="00767038">
        <w:rPr>
          <w:lang w:val="pl-PL"/>
        </w:rPr>
        <w:t>Podejmując decyzję o wykorzystaniu standardowych stawek kosztów jednostkowych,</w:t>
      </w:r>
      <w:r w:rsidR="00DA35E2">
        <w:rPr>
          <w:lang w:val="pl-PL"/>
        </w:rPr>
        <w:t xml:space="preserve"> </w:t>
      </w:r>
      <w:r w:rsidR="00315981" w:rsidRPr="00767038">
        <w:rPr>
          <w:lang w:val="pl-PL"/>
        </w:rPr>
        <w:t>Operator Programu</w:t>
      </w:r>
      <w:r w:rsidR="009F71BC" w:rsidRPr="00767038">
        <w:rPr>
          <w:lang w:val="pl-PL"/>
        </w:rPr>
        <w:t xml:space="preserve"> powinien zwrócić uwagę na</w:t>
      </w:r>
      <w:r w:rsidR="009B09B4" w:rsidRPr="00767038">
        <w:rPr>
          <w:lang w:val="pl-PL"/>
        </w:rPr>
        <w:t xml:space="preserve">: </w:t>
      </w:r>
    </w:p>
    <w:p w:rsidR="009B09B4" w:rsidRPr="00767038" w:rsidRDefault="00BE39D4" w:rsidP="00767038">
      <w:pPr>
        <w:pStyle w:val="Akapitzlist"/>
        <w:numPr>
          <w:ilvl w:val="0"/>
          <w:numId w:val="18"/>
        </w:numPr>
        <w:rPr>
          <w:lang w:val="pl-PL"/>
        </w:rPr>
      </w:pPr>
      <w:r w:rsidRPr="00767038">
        <w:rPr>
          <w:lang w:val="pl-PL"/>
        </w:rPr>
        <w:t>związek między zrealizowanymi wielkościami i płatnościami</w:t>
      </w:r>
      <w:r w:rsidR="009B09B4" w:rsidRPr="00767038">
        <w:rPr>
          <w:lang w:val="pl-PL"/>
        </w:rPr>
        <w:t xml:space="preserve"> – </w:t>
      </w:r>
      <w:r w:rsidRPr="00767038">
        <w:rPr>
          <w:lang w:val="pl-PL"/>
        </w:rPr>
        <w:t>w miarę spadku wielkości (w porównaniu z maksymalną wielkością początkową) koszty kwalifikowalne spadają, bez względu na leżące u ich podstaw koszty rzeczywiste,</w:t>
      </w:r>
    </w:p>
    <w:p w:rsidR="009B09B4" w:rsidRPr="00767038" w:rsidRDefault="00BE39D4" w:rsidP="00767038">
      <w:pPr>
        <w:pStyle w:val="Akapitzlist"/>
        <w:numPr>
          <w:ilvl w:val="0"/>
          <w:numId w:val="18"/>
        </w:numPr>
        <w:rPr>
          <w:lang w:val="pl-PL"/>
        </w:rPr>
      </w:pPr>
      <w:r w:rsidRPr="00767038">
        <w:rPr>
          <w:lang w:val="pl-PL"/>
        </w:rPr>
        <w:t xml:space="preserve">audyty i weryfikacje powinny obejmować </w:t>
      </w:r>
      <w:r w:rsidR="00A03C92" w:rsidRPr="00767038">
        <w:rPr>
          <w:lang w:val="pl-PL"/>
        </w:rPr>
        <w:t>sprawdzeni</w:t>
      </w:r>
      <w:r w:rsidR="00FA29BD">
        <w:rPr>
          <w:lang w:val="pl-PL"/>
        </w:rPr>
        <w:t>e</w:t>
      </w:r>
      <w:r w:rsidRPr="00767038">
        <w:rPr>
          <w:lang w:val="pl-PL"/>
        </w:rPr>
        <w:t xml:space="preserve"> stosowani</w:t>
      </w:r>
      <w:r w:rsidR="00A03C92" w:rsidRPr="00767038">
        <w:rPr>
          <w:lang w:val="pl-PL"/>
        </w:rPr>
        <w:t>a</w:t>
      </w:r>
      <w:r w:rsidRPr="00767038">
        <w:rPr>
          <w:lang w:val="pl-PL"/>
        </w:rPr>
        <w:t xml:space="preserve"> </w:t>
      </w:r>
      <w:r w:rsidR="00A03C92" w:rsidRPr="00767038">
        <w:rPr>
          <w:lang w:val="pl-PL"/>
        </w:rPr>
        <w:t xml:space="preserve">poprawnej </w:t>
      </w:r>
      <w:r w:rsidRPr="00767038">
        <w:rPr>
          <w:lang w:val="pl-PL"/>
        </w:rPr>
        <w:t xml:space="preserve">metody w poszczególnych projektach (weryfikowane na poziomie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 xml:space="preserve">) </w:t>
      </w:r>
      <w:r w:rsidR="00A03C92" w:rsidRPr="00767038">
        <w:rPr>
          <w:lang w:val="pl-PL"/>
        </w:rPr>
        <w:t>oraz spełnienie</w:t>
      </w:r>
      <w:r w:rsidRPr="00767038">
        <w:rPr>
          <w:lang w:val="pl-PL"/>
        </w:rPr>
        <w:t xml:space="preserve"> warunk</w:t>
      </w:r>
      <w:r w:rsidR="00A03C92" w:rsidRPr="00767038">
        <w:rPr>
          <w:lang w:val="pl-PL"/>
        </w:rPr>
        <w:t>ów</w:t>
      </w:r>
      <w:r w:rsidRPr="00767038">
        <w:rPr>
          <w:lang w:val="pl-PL"/>
        </w:rPr>
        <w:t xml:space="preserve"> kwalifikowalności wydatków na podstawie standardo</w:t>
      </w:r>
      <w:r w:rsidR="00F86180" w:rsidRPr="00767038">
        <w:rPr>
          <w:lang w:val="pl-PL"/>
        </w:rPr>
        <w:t>wych stawek</w:t>
      </w:r>
      <w:r w:rsidRPr="00767038">
        <w:rPr>
          <w:lang w:val="pl-PL"/>
        </w:rPr>
        <w:t xml:space="preserve"> </w:t>
      </w:r>
      <w:r w:rsidR="00A03C92" w:rsidRPr="00767038">
        <w:rPr>
          <w:lang w:val="pl-PL"/>
        </w:rPr>
        <w:t xml:space="preserve">kosztów </w:t>
      </w:r>
      <w:r w:rsidR="00A35E94" w:rsidRPr="00767038">
        <w:rPr>
          <w:lang w:val="pl-PL"/>
        </w:rPr>
        <w:t>jednostkowych.</w:t>
      </w:r>
    </w:p>
    <w:p w:rsidR="009B09B4" w:rsidRPr="00767038" w:rsidRDefault="00BE39D4" w:rsidP="00A8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noProof/>
          <w:color w:val="1F4E79" w:themeColor="accent1" w:themeShade="80"/>
          <w:lang w:val="pl-PL"/>
        </w:rPr>
      </w:pPr>
      <w:r w:rsidRPr="00767038">
        <w:rPr>
          <w:noProof/>
          <w:color w:val="1F4E79" w:themeColor="accent1" w:themeShade="80"/>
          <w:lang w:val="pl-PL"/>
        </w:rPr>
        <w:t>Koszt jednostkowy</w:t>
      </w:r>
      <w:r w:rsidR="0025335E" w:rsidRPr="00767038">
        <w:rPr>
          <w:noProof/>
          <w:color w:val="1F4E79" w:themeColor="accent1" w:themeShade="80"/>
          <w:lang w:val="pl-PL"/>
        </w:rPr>
        <w:t xml:space="preserve"> x </w:t>
      </w:r>
      <w:r w:rsidRPr="00767038">
        <w:rPr>
          <w:noProof/>
          <w:color w:val="1F4E79" w:themeColor="accent1" w:themeShade="80"/>
          <w:lang w:val="pl-PL"/>
        </w:rPr>
        <w:t>liczba jednostek</w:t>
      </w:r>
      <w:r w:rsidR="0025335E" w:rsidRPr="00767038">
        <w:rPr>
          <w:noProof/>
          <w:color w:val="1F4E79" w:themeColor="accent1" w:themeShade="80"/>
          <w:lang w:val="pl-PL"/>
        </w:rPr>
        <w:t xml:space="preserve"> = m</w:t>
      </w:r>
      <w:r w:rsidRPr="00767038">
        <w:rPr>
          <w:noProof/>
          <w:color w:val="1F4E79" w:themeColor="accent1" w:themeShade="80"/>
          <w:lang w:val="pl-PL"/>
        </w:rPr>
        <w:t>aksymalny koszt kwalifikowalny jednostkowej kategorii</w:t>
      </w:r>
    </w:p>
    <w:p w:rsidR="008C2068" w:rsidRPr="008C2068" w:rsidRDefault="008C2068" w:rsidP="008C2068">
      <w:pPr>
        <w:pStyle w:val="Nagwek2"/>
        <w:numPr>
          <w:ilvl w:val="0"/>
          <w:numId w:val="0"/>
        </w:numPr>
        <w:rPr>
          <w:rStyle w:val="Nagwek2Znak"/>
          <w:b/>
          <w:bCs/>
          <w:i/>
          <w:lang w:val="pl-PL"/>
        </w:rPr>
      </w:pPr>
      <w:bookmarkStart w:id="56" w:name="_Ref462062689"/>
      <w:bookmarkStart w:id="57" w:name="_Ref462062633"/>
      <w:bookmarkStart w:id="58" w:name="_Toc505238511"/>
    </w:p>
    <w:p w:rsidR="00B4569F" w:rsidRPr="00767038" w:rsidRDefault="00BE39D4" w:rsidP="00A0039A">
      <w:pPr>
        <w:pStyle w:val="Nagwek2"/>
        <w:rPr>
          <w:lang w:val="pl-PL"/>
        </w:rPr>
      </w:pPr>
      <w:r w:rsidRPr="00767038">
        <w:rPr>
          <w:rStyle w:val="Nagwek2Znak"/>
          <w:b/>
          <w:bCs/>
          <w:i/>
          <w:iCs/>
          <w:lang w:val="pl-PL"/>
        </w:rPr>
        <w:t>Wydatki niekwalifikowalne</w:t>
      </w:r>
      <w:r w:rsidR="009B7F14" w:rsidRPr="00767038">
        <w:rPr>
          <w:rStyle w:val="Nagwek2Znak"/>
          <w:b/>
          <w:bCs/>
          <w:i/>
          <w:iCs/>
          <w:lang w:val="pl-PL"/>
        </w:rPr>
        <w:t xml:space="preserve"> – </w:t>
      </w:r>
      <w:r w:rsidRPr="00767038">
        <w:rPr>
          <w:rStyle w:val="Nagwek2Znak"/>
          <w:b/>
          <w:bCs/>
          <w:i/>
          <w:iCs/>
          <w:lang w:val="pl-PL"/>
        </w:rPr>
        <w:t xml:space="preserve">koszty wyłączone </w:t>
      </w:r>
      <w:r w:rsidR="009B7F14" w:rsidRPr="00767038">
        <w:rPr>
          <w:iCs/>
          <w:lang w:val="pl-PL"/>
        </w:rPr>
        <w:t>(</w:t>
      </w:r>
      <w:r w:rsidRPr="00767038">
        <w:rPr>
          <w:iCs/>
          <w:lang w:val="pl-PL"/>
        </w:rPr>
        <w:t>a</w:t>
      </w:r>
      <w:r w:rsidR="009B7F14" w:rsidRPr="00767038">
        <w:rPr>
          <w:iCs/>
          <w:lang w:val="pl-PL"/>
        </w:rPr>
        <w:t>rt. 8.7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9B7F14" w:rsidRPr="00767038">
        <w:rPr>
          <w:iCs/>
          <w:lang w:val="pl-PL"/>
        </w:rPr>
        <w:t>)</w:t>
      </w:r>
      <w:bookmarkEnd w:id="56"/>
      <w:bookmarkEnd w:id="57"/>
      <w:bookmarkEnd w:id="58"/>
    </w:p>
    <w:p w:rsidR="00681CEA" w:rsidRPr="00767038" w:rsidRDefault="00BE39D4" w:rsidP="00376576">
      <w:pPr>
        <w:rPr>
          <w:lang w:val="pl-PL"/>
        </w:rPr>
      </w:pPr>
      <w:r w:rsidRPr="00767038">
        <w:rPr>
          <w:lang w:val="pl-PL"/>
        </w:rPr>
        <w:t xml:space="preserve">Artykuł 8.7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wymienia </w:t>
      </w:r>
      <w:r w:rsidR="00A03C92" w:rsidRPr="00767038">
        <w:rPr>
          <w:lang w:val="pl-PL"/>
        </w:rPr>
        <w:t>wydatki</w:t>
      </w:r>
      <w:r w:rsidRPr="00767038">
        <w:rPr>
          <w:lang w:val="pl-PL"/>
        </w:rPr>
        <w:t>, których nie uznaje się za koszty kwalifikowalne i któr</w:t>
      </w:r>
      <w:r w:rsidR="00A03C92" w:rsidRPr="00767038">
        <w:rPr>
          <w:lang w:val="pl-PL"/>
        </w:rPr>
        <w:t>e</w:t>
      </w:r>
      <w:r w:rsidRPr="00767038">
        <w:rPr>
          <w:lang w:val="pl-PL"/>
        </w:rPr>
        <w:t xml:space="preserve"> nie </w:t>
      </w:r>
      <w:r w:rsidR="00A03C92" w:rsidRPr="00767038">
        <w:rPr>
          <w:lang w:val="pl-PL"/>
        </w:rPr>
        <w:t>powinny być</w:t>
      </w:r>
      <w:r w:rsidRPr="00767038">
        <w:rPr>
          <w:lang w:val="pl-PL"/>
        </w:rPr>
        <w:t xml:space="preserve"> pokrywa</w:t>
      </w:r>
      <w:r w:rsidR="00A03C92" w:rsidRPr="00767038">
        <w:rPr>
          <w:lang w:val="pl-PL"/>
        </w:rPr>
        <w:t>ne</w:t>
      </w:r>
      <w:r w:rsidRPr="00767038">
        <w:rPr>
          <w:lang w:val="pl-PL"/>
        </w:rPr>
        <w:t xml:space="preserve"> ze środków Mechanizmów Finansowych</w:t>
      </w:r>
      <w:r w:rsidR="00962AA6" w:rsidRPr="00767038">
        <w:rPr>
          <w:lang w:val="pl-PL"/>
        </w:rPr>
        <w:t>:</w:t>
      </w:r>
    </w:p>
    <w:p w:rsidR="00681CEA" w:rsidRPr="00767038" w:rsidRDefault="00BE39D4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lastRenderedPageBreak/>
        <w:t>odsetki od zadłużenia, obsług</w:t>
      </w:r>
      <w:r w:rsidR="00A03C92" w:rsidRPr="00767038">
        <w:rPr>
          <w:lang w:val="pl-PL"/>
        </w:rPr>
        <w:t>a</w:t>
      </w:r>
      <w:r w:rsidRPr="00767038">
        <w:rPr>
          <w:lang w:val="pl-PL"/>
        </w:rPr>
        <w:t xml:space="preserve"> zadłużenia i opłaty z tytułu opóźnionych płatności </w:t>
      </w:r>
      <w:r w:rsidR="00C0475B" w:rsidRPr="00767038">
        <w:rPr>
          <w:lang w:val="pl-PL"/>
        </w:rPr>
        <w:t>(</w:t>
      </w:r>
      <w:r w:rsidRPr="00767038">
        <w:rPr>
          <w:lang w:val="pl-PL"/>
        </w:rPr>
        <w:t>art.</w:t>
      </w:r>
      <w:r w:rsidR="00C0475B" w:rsidRPr="00767038">
        <w:rPr>
          <w:lang w:val="pl-PL"/>
        </w:rPr>
        <w:t xml:space="preserve"> 8.7.2 </w:t>
      </w:r>
      <w:r w:rsidRPr="00767038">
        <w:rPr>
          <w:lang w:val="pl-PL"/>
        </w:rPr>
        <w:t xml:space="preserve">lit. </w:t>
      </w:r>
      <w:r w:rsidR="00C0475B" w:rsidRPr="00767038">
        <w:rPr>
          <w:lang w:val="pl-PL"/>
        </w:rPr>
        <w:t>(a)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C0475B" w:rsidRPr="00767038">
        <w:rPr>
          <w:lang w:val="pl-PL"/>
        </w:rPr>
        <w:t>)</w:t>
      </w:r>
      <w:r w:rsidRPr="00767038">
        <w:rPr>
          <w:lang w:val="pl-PL"/>
        </w:rPr>
        <w:t>.</w:t>
      </w:r>
    </w:p>
    <w:p w:rsidR="00174FBE" w:rsidRPr="00767038" w:rsidRDefault="00BE39D4" w:rsidP="00174FBE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 xml:space="preserve">Kategoria ta obejmuje wszelkie koszty odsetek od zaciągniętych pożyczek, </w:t>
      </w:r>
      <w:r w:rsidR="00A35E94" w:rsidRPr="00767038">
        <w:rPr>
          <w:lang w:val="pl-PL"/>
        </w:rPr>
        <w:t>także związanych</w:t>
      </w:r>
      <w:r w:rsidRPr="00767038">
        <w:rPr>
          <w:lang w:val="pl-PL"/>
        </w:rPr>
        <w:t xml:space="preserve"> z projektem, których nie można uznać za koszt kwalifikowalny</w:t>
      </w:r>
      <w:r w:rsidR="00350734" w:rsidRPr="00767038">
        <w:rPr>
          <w:lang w:val="pl-PL"/>
        </w:rPr>
        <w:t>.</w:t>
      </w:r>
      <w:r w:rsidRPr="00767038">
        <w:rPr>
          <w:lang w:val="pl-PL"/>
        </w:rPr>
        <w:t xml:space="preserve"> To samo odnosi się do kar lub opłat związanych z opóźnionymi płatnościami za faktury</w:t>
      </w:r>
      <w:r w:rsidR="00A03C92" w:rsidRPr="00767038">
        <w:rPr>
          <w:lang w:val="pl-PL"/>
        </w:rPr>
        <w:t>.</w:t>
      </w:r>
    </w:p>
    <w:p w:rsidR="00B9272D" w:rsidRPr="00767038" w:rsidRDefault="00BE39D4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>opłaty z</w:t>
      </w:r>
      <w:r w:rsidR="00A03C92" w:rsidRPr="00767038">
        <w:rPr>
          <w:lang w:val="pl-PL"/>
        </w:rPr>
        <w:t>a</w:t>
      </w:r>
      <w:r w:rsidRPr="00767038">
        <w:rPr>
          <w:lang w:val="pl-PL"/>
        </w:rPr>
        <w:t xml:space="preserve"> transakcj</w:t>
      </w:r>
      <w:r w:rsidR="00A03C92" w:rsidRPr="00767038">
        <w:rPr>
          <w:lang w:val="pl-PL"/>
        </w:rPr>
        <w:t>e</w:t>
      </w:r>
      <w:r w:rsidRPr="00767038">
        <w:rPr>
          <w:lang w:val="pl-PL"/>
        </w:rPr>
        <w:t xml:space="preserve"> finansow</w:t>
      </w:r>
      <w:r w:rsidR="00A03C92" w:rsidRPr="00767038">
        <w:rPr>
          <w:lang w:val="pl-PL"/>
        </w:rPr>
        <w:t>e</w:t>
      </w:r>
      <w:r w:rsidRPr="00767038">
        <w:rPr>
          <w:lang w:val="pl-PL"/>
        </w:rPr>
        <w:t xml:space="preserve"> i </w:t>
      </w:r>
      <w:r w:rsidR="001457A1" w:rsidRPr="00767038">
        <w:rPr>
          <w:lang w:val="pl-PL"/>
        </w:rPr>
        <w:t>inne</w:t>
      </w:r>
      <w:r w:rsidRPr="00767038">
        <w:rPr>
          <w:lang w:val="pl-PL"/>
        </w:rPr>
        <w:t xml:space="preserve"> koszty </w:t>
      </w:r>
      <w:r w:rsidR="001457A1" w:rsidRPr="00767038">
        <w:rPr>
          <w:lang w:val="pl-PL"/>
        </w:rPr>
        <w:t>czysto</w:t>
      </w:r>
      <w:r w:rsidRPr="00767038">
        <w:rPr>
          <w:lang w:val="pl-PL"/>
        </w:rPr>
        <w:t xml:space="preserve"> finansowe, z wyłączeniem kosztów związanych z rachunkami wymaganymi przez BMF, Krajowy Punkt Kontaktowy lub </w:t>
      </w:r>
      <w:r w:rsidR="001457A1" w:rsidRPr="00767038">
        <w:rPr>
          <w:lang w:val="pl-PL"/>
        </w:rPr>
        <w:t>obowiązujące prawo oraz</w:t>
      </w:r>
      <w:r w:rsidRPr="00767038">
        <w:rPr>
          <w:lang w:val="pl-PL"/>
        </w:rPr>
        <w:t xml:space="preserve"> koszt</w:t>
      </w:r>
      <w:r w:rsidR="001457A1" w:rsidRPr="00767038">
        <w:rPr>
          <w:lang w:val="pl-PL"/>
        </w:rPr>
        <w:t>ów</w:t>
      </w:r>
      <w:r w:rsidRPr="00767038">
        <w:rPr>
          <w:lang w:val="pl-PL"/>
        </w:rPr>
        <w:t xml:space="preserve"> usług finansowych nałożonych w drodze zawarcia </w:t>
      </w:r>
      <w:r w:rsidR="001457A1" w:rsidRPr="00767038">
        <w:rPr>
          <w:lang w:val="pl-PL"/>
        </w:rPr>
        <w:t>U</w:t>
      </w:r>
      <w:r w:rsidRPr="00767038">
        <w:rPr>
          <w:lang w:val="pl-PL"/>
        </w:rPr>
        <w:t>mowy w sprawie projektu (a</w:t>
      </w:r>
      <w:r w:rsidR="00174FBE" w:rsidRPr="00767038">
        <w:rPr>
          <w:lang w:val="pl-PL"/>
        </w:rPr>
        <w:t xml:space="preserve">rt 8.7.2 </w:t>
      </w:r>
      <w:r w:rsidRPr="00767038">
        <w:rPr>
          <w:lang w:val="pl-PL"/>
        </w:rPr>
        <w:t xml:space="preserve">lit. </w:t>
      </w:r>
      <w:r w:rsidR="00174FBE" w:rsidRPr="00767038">
        <w:rPr>
          <w:lang w:val="pl-PL"/>
        </w:rPr>
        <w:t>(b)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174FBE" w:rsidRPr="00767038">
        <w:rPr>
          <w:lang w:val="pl-PL"/>
        </w:rPr>
        <w:t>)</w:t>
      </w:r>
      <w:r w:rsidRPr="00767038">
        <w:rPr>
          <w:lang w:val="pl-PL"/>
        </w:rPr>
        <w:t>.</w:t>
      </w:r>
    </w:p>
    <w:p w:rsidR="008262DD" w:rsidRPr="00767038" w:rsidRDefault="00BE39D4" w:rsidP="008E3D30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>Na przykład wydatki związane z zabezpieczeniem kursu wymiany przez kontrakt terminowy z zabezpieczonym przyszłym kursem wymiany</w:t>
      </w:r>
      <w:r w:rsidR="00AC1552" w:rsidRPr="00767038">
        <w:rPr>
          <w:lang w:val="pl-PL"/>
        </w:rPr>
        <w:t>.</w:t>
      </w:r>
    </w:p>
    <w:p w:rsidR="003253A6" w:rsidRPr="00767038" w:rsidRDefault="00BE39D4" w:rsidP="008E3D30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>Niekwalifikowalne, chyba że wymagane w umowie w sprawie projektu;</w:t>
      </w:r>
    </w:p>
    <w:p w:rsidR="00B9272D" w:rsidRPr="00767038" w:rsidRDefault="00BE39D4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 xml:space="preserve">rezerwy na straty lub potencjalne przyszłe zobowiązania (art. </w:t>
      </w:r>
      <w:r w:rsidR="00681CEA" w:rsidRPr="00767038">
        <w:rPr>
          <w:lang w:val="pl-PL"/>
        </w:rPr>
        <w:t xml:space="preserve">8.7.2 </w:t>
      </w:r>
      <w:r w:rsidRPr="00767038">
        <w:rPr>
          <w:lang w:val="pl-PL"/>
        </w:rPr>
        <w:t xml:space="preserve">lit. </w:t>
      </w:r>
      <w:r w:rsidR="00681CEA" w:rsidRPr="00767038">
        <w:rPr>
          <w:lang w:val="pl-PL"/>
        </w:rPr>
        <w:t>(c)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681CEA" w:rsidRPr="00767038">
        <w:rPr>
          <w:lang w:val="pl-PL"/>
        </w:rPr>
        <w:t>)</w:t>
      </w:r>
      <w:r w:rsidRPr="00767038">
        <w:rPr>
          <w:lang w:val="pl-PL"/>
        </w:rPr>
        <w:t>.</w:t>
      </w:r>
    </w:p>
    <w:p w:rsidR="00973651" w:rsidRPr="00767038" w:rsidRDefault="00BE39D4" w:rsidP="008E3D30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>Na przykład możliwe wydatki związane z roszczeniem gwarancyjnym dotyczącym sprzedanego produktu;</w:t>
      </w:r>
    </w:p>
    <w:p w:rsidR="008E3D30" w:rsidRPr="00767038" w:rsidRDefault="001457A1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>straty spowodowane</w:t>
      </w:r>
      <w:r w:rsidR="00EA528A" w:rsidRPr="00767038">
        <w:rPr>
          <w:lang w:val="pl-PL"/>
        </w:rPr>
        <w:t xml:space="preserve"> różnic</w:t>
      </w:r>
      <w:r w:rsidRPr="00767038">
        <w:rPr>
          <w:lang w:val="pl-PL"/>
        </w:rPr>
        <w:t>ami</w:t>
      </w:r>
      <w:r w:rsidR="00EA528A" w:rsidRPr="00767038">
        <w:rPr>
          <w:lang w:val="pl-PL"/>
        </w:rPr>
        <w:t xml:space="preserve"> kursow</w:t>
      </w:r>
      <w:r w:rsidRPr="00767038">
        <w:rPr>
          <w:lang w:val="pl-PL"/>
        </w:rPr>
        <w:t>ymi</w:t>
      </w:r>
      <w:r w:rsidR="00B9272D" w:rsidRPr="00767038">
        <w:rPr>
          <w:lang w:val="pl-PL"/>
        </w:rPr>
        <w:t xml:space="preserve"> (</w:t>
      </w:r>
      <w:r w:rsidR="00EA528A" w:rsidRPr="00767038">
        <w:rPr>
          <w:lang w:val="pl-PL"/>
        </w:rPr>
        <w:t>a</w:t>
      </w:r>
      <w:r w:rsidR="00B9272D" w:rsidRPr="00767038">
        <w:rPr>
          <w:lang w:val="pl-PL"/>
        </w:rPr>
        <w:t xml:space="preserve">rt. 8.7.2 </w:t>
      </w:r>
      <w:r w:rsidR="00EA528A" w:rsidRPr="00767038">
        <w:rPr>
          <w:lang w:val="pl-PL"/>
        </w:rPr>
        <w:t xml:space="preserve">lit. </w:t>
      </w:r>
      <w:r w:rsidR="00B9272D" w:rsidRPr="00767038">
        <w:rPr>
          <w:lang w:val="pl-PL"/>
        </w:rPr>
        <w:t xml:space="preserve">(d) </w:t>
      </w:r>
      <w:r w:rsidR="00EA528A" w:rsidRPr="00767038">
        <w:rPr>
          <w:lang w:val="pl-PL"/>
        </w:rPr>
        <w:t>i</w:t>
      </w:r>
      <w:r w:rsidR="00B9272D" w:rsidRPr="00767038">
        <w:rPr>
          <w:lang w:val="pl-PL"/>
        </w:rPr>
        <w:t xml:space="preserve"> </w:t>
      </w:r>
      <w:r w:rsidR="00A35E94" w:rsidRPr="00767038">
        <w:rPr>
          <w:lang w:val="pl-PL"/>
        </w:rPr>
        <w:t>9.6.4</w:t>
      </w:r>
      <w:r w:rsidR="00A35E94">
        <w:rPr>
          <w:lang w:val="pl-PL"/>
        </w:rPr>
        <w:t xml:space="preserve"> </w:t>
      </w:r>
      <w:r w:rsidR="00A35E94" w:rsidRPr="00767038">
        <w:rPr>
          <w:lang w:val="pl-PL"/>
        </w:rPr>
        <w:t>Regulacji</w:t>
      </w:r>
      <w:r w:rsidR="00B9272D" w:rsidRPr="00767038">
        <w:rPr>
          <w:lang w:val="pl-PL"/>
        </w:rPr>
        <w:t>)</w:t>
      </w:r>
      <w:r w:rsidR="00EA528A" w:rsidRPr="00767038">
        <w:rPr>
          <w:lang w:val="pl-PL"/>
        </w:rPr>
        <w:t>.</w:t>
      </w:r>
    </w:p>
    <w:p w:rsidR="007F22A2" w:rsidRPr="00767038" w:rsidRDefault="001457A1" w:rsidP="00F37581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>Straty spowodowane</w:t>
      </w:r>
      <w:r w:rsidR="00EA528A" w:rsidRPr="00767038">
        <w:rPr>
          <w:lang w:val="pl-PL"/>
        </w:rPr>
        <w:t xml:space="preserve"> różnic</w:t>
      </w:r>
      <w:r w:rsidRPr="00767038">
        <w:rPr>
          <w:lang w:val="pl-PL"/>
        </w:rPr>
        <w:t>ami</w:t>
      </w:r>
      <w:r w:rsidR="00EA528A" w:rsidRPr="00767038">
        <w:rPr>
          <w:lang w:val="pl-PL"/>
        </w:rPr>
        <w:t xml:space="preserve"> kursow</w:t>
      </w:r>
      <w:r w:rsidRPr="00767038">
        <w:rPr>
          <w:lang w:val="pl-PL"/>
        </w:rPr>
        <w:t>ymi</w:t>
      </w:r>
      <w:r w:rsidR="00EA528A" w:rsidRPr="00767038">
        <w:rPr>
          <w:lang w:val="pl-PL"/>
        </w:rPr>
        <w:t xml:space="preserve"> odnoszą się najczęściej do państw, które nie przyjęły euro</w:t>
      </w:r>
      <w:r w:rsidR="0012618C" w:rsidRPr="00767038">
        <w:rPr>
          <w:lang w:val="pl-PL"/>
        </w:rPr>
        <w:t xml:space="preserve">. </w:t>
      </w:r>
      <w:r w:rsidR="00EA528A" w:rsidRPr="00767038">
        <w:rPr>
          <w:lang w:val="pl-PL"/>
        </w:rPr>
        <w:t>Należy mieć na uwadze, że KMF/</w:t>
      </w:r>
      <w:r w:rsidR="00C604D9" w:rsidRPr="00767038">
        <w:rPr>
          <w:lang w:val="pl-PL"/>
        </w:rPr>
        <w:t>NMSZ</w:t>
      </w:r>
      <w:r w:rsidR="00EA528A" w:rsidRPr="00767038">
        <w:rPr>
          <w:lang w:val="pl-PL"/>
        </w:rPr>
        <w:t xml:space="preserve"> nie są zobowiązan</w:t>
      </w:r>
      <w:r w:rsidR="00555CDD" w:rsidRPr="00767038">
        <w:rPr>
          <w:lang w:val="pl-PL"/>
        </w:rPr>
        <w:t>e</w:t>
      </w:r>
      <w:r w:rsidR="00EA528A" w:rsidRPr="00767038">
        <w:rPr>
          <w:lang w:val="pl-PL"/>
        </w:rPr>
        <w:t xml:space="preserve"> do wypłaty wyższej kwoty w euro niż pierwotnie </w:t>
      </w:r>
      <w:r w:rsidRPr="00767038">
        <w:rPr>
          <w:lang w:val="pl-PL"/>
        </w:rPr>
        <w:t>zakontraktowana</w:t>
      </w:r>
      <w:r w:rsidR="00EA528A" w:rsidRPr="00767038">
        <w:rPr>
          <w:lang w:val="pl-PL"/>
        </w:rPr>
        <w:t xml:space="preserve"> kwota. Ponadto projekt nie może otrzymać wyższej kwoty w euro, niż wynika to z dofinansowania programu</w:t>
      </w:r>
      <w:r w:rsidR="0012618C" w:rsidRPr="00767038">
        <w:rPr>
          <w:lang w:val="pl-PL"/>
        </w:rPr>
        <w:t>.</w:t>
      </w:r>
    </w:p>
    <w:p w:rsidR="00BF1F84" w:rsidRPr="00767038" w:rsidRDefault="00FB2938" w:rsidP="00F37581">
      <w:pPr>
        <w:pStyle w:val="Akapitzlist"/>
        <w:ind w:left="1077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0AD72A" wp14:editId="63ED299E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5895975" cy="2646045"/>
                <wp:effectExtent l="0" t="0" r="28575" b="20955"/>
                <wp:wrapSquare wrapText="bothSides"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26460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2D7" w:rsidRPr="00265F1A" w:rsidRDefault="00C522D7" w:rsidP="008E3D30">
                            <w:pPr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Przykłady, w których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straty spowodowane</w:t>
                            </w: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 różnic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ami</w:t>
                            </w: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 kursow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ymi</w:t>
                            </w:r>
                            <w:r w:rsidRPr="00265F1A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 są kwalifikowalne lub nie:</w:t>
                            </w:r>
                          </w:p>
                          <w:p w:rsidR="00C522D7" w:rsidRPr="00ED13FE" w:rsidRDefault="00C522D7" w:rsidP="008E3D3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Niekwalifikowalne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C522D7" w:rsidRPr="00265F1A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straty wynikające z raportowania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 xml:space="preserve">w Finansowych raportach okresowych 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poniesionych wydatków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są niekwalifikowalne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>;</w:t>
                            </w:r>
                          </w:p>
                          <w:p w:rsidR="00C522D7" w:rsidRPr="00265F1A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jeżeli na realizację projektu wydano całkowitą kwotę w euro, lecz nie wykorzystano w pełni budżetu w walucie lokalnej, dofinansowanie wypłacone z programu nie będzie pokrywać żadnych kwot wykraczających ponad dofinansowanie projektu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 xml:space="preserve">przyznane 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 xml:space="preserve">w euro. </w:t>
                            </w:r>
                          </w:p>
                          <w:p w:rsidR="00C522D7" w:rsidRPr="00ED13FE" w:rsidRDefault="00C522D7" w:rsidP="008E3D3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Kwalifkowalne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C522D7" w:rsidRPr="00265F1A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sz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lang w:val="pl-PL"/>
                              </w:rPr>
                              <w:t>stwierdzone straty wynikające ze zmian w kursach wymiany w ramach projektu są normalnie akceptowal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n</w:t>
                            </w:r>
                            <w:r w:rsidRPr="00265F1A">
                              <w:rPr>
                                <w:sz w:val="18"/>
                                <w:lang w:val="pl-PL"/>
                              </w:rPr>
                              <w:t>e, o ile mogą zostać pokryte z zatwierdzonego dofinansowania projektu w euro. Zmiany wewnętrzne między sekcjami budżetu można traktować jako zmianę w koszcie projektu (budżecie).</w:t>
                            </w:r>
                          </w:p>
                          <w:p w:rsidR="00C522D7" w:rsidRPr="00265F1A" w:rsidRDefault="00C522D7" w:rsidP="008E3D30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-3pt;margin-top:19.65pt;width:464.25pt;height:20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" fillcolor="white [3201]" strokecolor="black [3200]" strokeweight=".5pt">
                <v:path arrowok="t"/>
                <v:textbox>
                  <w:txbxContent>
                    <w:p w:rsidR="00C522D7" w:rsidRPr="00265F1A" w:rsidRDefault="00C522D7" w:rsidP="008E3D30">
                      <w:pPr>
                        <w:rPr>
                          <w:b/>
                          <w:sz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Przykłady, w których </w:t>
                      </w:r>
                      <w:r>
                        <w:rPr>
                          <w:b/>
                          <w:bCs/>
                          <w:sz w:val="18"/>
                          <w:lang w:val="pl-PL"/>
                        </w:rPr>
                        <w:t>straty spowodowane</w:t>
                      </w: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 różnic</w:t>
                      </w:r>
                      <w:r>
                        <w:rPr>
                          <w:b/>
                          <w:bCs/>
                          <w:sz w:val="18"/>
                          <w:lang w:val="pl-PL"/>
                        </w:rPr>
                        <w:t>ami</w:t>
                      </w: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 kursow</w:t>
                      </w:r>
                      <w:r>
                        <w:rPr>
                          <w:b/>
                          <w:bCs/>
                          <w:sz w:val="18"/>
                          <w:lang w:val="pl-PL"/>
                        </w:rPr>
                        <w:t>ymi</w:t>
                      </w:r>
                      <w:r w:rsidRPr="00265F1A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 są kwalifikowalne lub nie:</w:t>
                      </w:r>
                    </w:p>
                    <w:p w:rsidR="00C522D7" w:rsidRPr="00ED13FE" w:rsidRDefault="00C522D7" w:rsidP="008E3D30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Niekwalifikowalne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C522D7" w:rsidRPr="00265F1A" w:rsidRDefault="00C522D7" w:rsidP="00767038">
                      <w:pPr>
                        <w:pStyle w:val="Akapitzlist"/>
                        <w:numPr>
                          <w:ilvl w:val="0"/>
                          <w:numId w:val="27"/>
                        </w:numPr>
                        <w:jc w:val="left"/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 xml:space="preserve">straty wynikające z raportowania </w:t>
                      </w:r>
                      <w:r>
                        <w:rPr>
                          <w:sz w:val="18"/>
                          <w:lang w:val="pl-PL"/>
                        </w:rPr>
                        <w:t xml:space="preserve">w Finansowych raportach okresowych 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poniesionych wydatków </w:t>
                      </w:r>
                      <w:r>
                        <w:rPr>
                          <w:sz w:val="18"/>
                          <w:lang w:val="pl-PL"/>
                        </w:rPr>
                        <w:t>są niekwalifikowalne</w:t>
                      </w:r>
                      <w:r w:rsidRPr="00265F1A">
                        <w:rPr>
                          <w:sz w:val="18"/>
                          <w:lang w:val="pl-PL"/>
                        </w:rPr>
                        <w:t>;</w:t>
                      </w:r>
                    </w:p>
                    <w:p w:rsidR="00C522D7" w:rsidRPr="00265F1A" w:rsidRDefault="00C522D7" w:rsidP="00767038">
                      <w:pPr>
                        <w:pStyle w:val="Akapitzlist"/>
                        <w:numPr>
                          <w:ilvl w:val="0"/>
                          <w:numId w:val="27"/>
                        </w:numPr>
                        <w:jc w:val="left"/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 xml:space="preserve">jeżeli na realizację projektu wydano całkowitą kwotę w euro, lecz nie wykorzystano w pełni budżetu w walucie lokalnej, dofinansowanie wypłacone z programu nie będzie pokrywać żadnych kwot wykraczających ponad dofinansowanie projektu </w:t>
                      </w:r>
                      <w:r>
                        <w:rPr>
                          <w:sz w:val="18"/>
                          <w:lang w:val="pl-PL"/>
                        </w:rPr>
                        <w:t xml:space="preserve">przyznane </w:t>
                      </w:r>
                      <w:r w:rsidRPr="00265F1A">
                        <w:rPr>
                          <w:sz w:val="18"/>
                          <w:lang w:val="pl-PL"/>
                        </w:rPr>
                        <w:t xml:space="preserve">w euro. </w:t>
                      </w:r>
                    </w:p>
                    <w:p w:rsidR="00C522D7" w:rsidRPr="00ED13FE" w:rsidRDefault="00C522D7" w:rsidP="008E3D30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Kwalifkowalne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C522D7" w:rsidRPr="00265F1A" w:rsidRDefault="00C522D7" w:rsidP="00767038">
                      <w:pPr>
                        <w:pStyle w:val="Akapitzlist"/>
                        <w:numPr>
                          <w:ilvl w:val="0"/>
                          <w:numId w:val="28"/>
                        </w:numPr>
                        <w:jc w:val="left"/>
                        <w:rPr>
                          <w:sz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lang w:val="pl-PL"/>
                        </w:rPr>
                        <w:t>stwierdzone straty wynikające ze zmian w kursach wymiany w ramach projektu są normalnie akceptowal</w:t>
                      </w:r>
                      <w:r>
                        <w:rPr>
                          <w:sz w:val="18"/>
                          <w:lang w:val="pl-PL"/>
                        </w:rPr>
                        <w:t>n</w:t>
                      </w:r>
                      <w:r w:rsidRPr="00265F1A">
                        <w:rPr>
                          <w:sz w:val="18"/>
                          <w:lang w:val="pl-PL"/>
                        </w:rPr>
                        <w:t>e, o ile mogą zostać pokryte z zatwierdzonego dofinansowania projektu w euro. Zmiany wewnętrzne między sekcjami budżetu można traktować jako zmianę w koszcie projektu (budżecie).</w:t>
                      </w:r>
                    </w:p>
                    <w:p w:rsidR="00C522D7" w:rsidRPr="00265F1A" w:rsidRDefault="00C522D7" w:rsidP="008E3D30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73651" w:rsidRPr="00767038" w:rsidRDefault="00E54279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 xml:space="preserve">VAT </w:t>
      </w:r>
      <w:r w:rsidR="001457A1" w:rsidRPr="00767038">
        <w:rPr>
          <w:lang w:val="pl-PL"/>
        </w:rPr>
        <w:t>możliwy do odzyskania</w:t>
      </w:r>
      <w:r w:rsidR="00B9272D" w:rsidRPr="00767038">
        <w:rPr>
          <w:lang w:val="pl-PL"/>
        </w:rPr>
        <w:t xml:space="preserve"> (</w:t>
      </w:r>
      <w:r w:rsidRPr="00767038">
        <w:rPr>
          <w:lang w:val="pl-PL"/>
        </w:rPr>
        <w:t>a</w:t>
      </w:r>
      <w:r w:rsidR="00B9272D" w:rsidRPr="00767038">
        <w:rPr>
          <w:lang w:val="pl-PL"/>
        </w:rPr>
        <w:t xml:space="preserve">rt. 8.7.2 </w:t>
      </w:r>
      <w:r w:rsidRPr="00767038">
        <w:rPr>
          <w:lang w:val="pl-PL"/>
        </w:rPr>
        <w:t xml:space="preserve">lit. </w:t>
      </w:r>
      <w:r w:rsidR="00B9272D" w:rsidRPr="00767038">
        <w:rPr>
          <w:lang w:val="pl-PL"/>
        </w:rPr>
        <w:t>(e)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B9272D" w:rsidRPr="00767038">
        <w:rPr>
          <w:lang w:val="pl-PL"/>
        </w:rPr>
        <w:t>)</w:t>
      </w:r>
      <w:r w:rsidRPr="00767038">
        <w:rPr>
          <w:lang w:val="pl-PL"/>
        </w:rPr>
        <w:t>.</w:t>
      </w:r>
    </w:p>
    <w:p w:rsidR="00B9272D" w:rsidRPr="00767038" w:rsidRDefault="00E54279" w:rsidP="00376576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 xml:space="preserve">Oznacza to, że jeżeli </w:t>
      </w:r>
      <w:r w:rsidR="00AC25C8" w:rsidRPr="00767038">
        <w:rPr>
          <w:lang w:val="pl-PL"/>
        </w:rPr>
        <w:t>beneficjent</w:t>
      </w:r>
      <w:r w:rsidRPr="00767038">
        <w:rPr>
          <w:lang w:val="pl-PL"/>
        </w:rPr>
        <w:t xml:space="preserve"> może odzyskać VAT w późniejszym czasie, </w:t>
      </w:r>
      <w:r w:rsidR="00555CDD" w:rsidRPr="00767038">
        <w:rPr>
          <w:lang w:val="pl-PL"/>
        </w:rPr>
        <w:t>podatku</w:t>
      </w:r>
      <w:r w:rsidRPr="00767038">
        <w:rPr>
          <w:lang w:val="pl-PL"/>
        </w:rPr>
        <w:t xml:space="preserve"> zapłaconego nie można traktować jako wydatek kwalifikowalny, nawet jeżeli nie został jeszcze odzyskany;</w:t>
      </w:r>
    </w:p>
    <w:p w:rsidR="004A31C5" w:rsidRPr="00767038" w:rsidRDefault="00E54279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>koszty pokry</w:t>
      </w:r>
      <w:r w:rsidR="001457A1" w:rsidRPr="00767038">
        <w:rPr>
          <w:lang w:val="pl-PL"/>
        </w:rPr>
        <w:t>te</w:t>
      </w:r>
      <w:r w:rsidRPr="00767038">
        <w:rPr>
          <w:lang w:val="pl-PL"/>
        </w:rPr>
        <w:t xml:space="preserve"> z innych źródeł</w:t>
      </w:r>
      <w:r w:rsidR="00B9272D" w:rsidRPr="00767038">
        <w:rPr>
          <w:lang w:val="pl-PL"/>
        </w:rPr>
        <w:t xml:space="preserve"> (</w:t>
      </w:r>
      <w:r w:rsidRPr="00767038">
        <w:rPr>
          <w:lang w:val="pl-PL"/>
        </w:rPr>
        <w:t>a</w:t>
      </w:r>
      <w:r w:rsidR="00B9272D" w:rsidRPr="00767038">
        <w:rPr>
          <w:lang w:val="pl-PL"/>
        </w:rPr>
        <w:t>rt 8.7.2</w:t>
      </w:r>
      <w:r w:rsidRPr="00767038">
        <w:rPr>
          <w:lang w:val="pl-PL"/>
        </w:rPr>
        <w:t xml:space="preserve"> lit.</w:t>
      </w:r>
      <w:r w:rsidR="00B9272D" w:rsidRPr="00767038">
        <w:rPr>
          <w:lang w:val="pl-PL"/>
        </w:rPr>
        <w:t xml:space="preserve"> (f)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B9272D" w:rsidRPr="00767038">
        <w:rPr>
          <w:lang w:val="pl-PL"/>
        </w:rPr>
        <w:t>)</w:t>
      </w:r>
      <w:r w:rsidRPr="00767038">
        <w:rPr>
          <w:lang w:val="pl-PL"/>
        </w:rPr>
        <w:t>;</w:t>
      </w:r>
    </w:p>
    <w:p w:rsidR="00B9272D" w:rsidRPr="00767038" w:rsidRDefault="00E54279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>celem jest uniknięcie podwójnego finansowania i pokry</w:t>
      </w:r>
      <w:r w:rsidR="001457A1" w:rsidRPr="00767038">
        <w:rPr>
          <w:lang w:val="pl-PL"/>
        </w:rPr>
        <w:t>wania</w:t>
      </w:r>
      <w:r w:rsidRPr="00767038">
        <w:rPr>
          <w:lang w:val="pl-PL"/>
        </w:rPr>
        <w:t xml:space="preserve"> </w:t>
      </w:r>
      <w:r w:rsidR="001457A1" w:rsidRPr="00767038">
        <w:rPr>
          <w:lang w:val="pl-PL"/>
        </w:rPr>
        <w:t>wydatków</w:t>
      </w:r>
      <w:r w:rsidRPr="00767038">
        <w:rPr>
          <w:lang w:val="pl-PL"/>
        </w:rPr>
        <w:t xml:space="preserve">, które zostały już sfinansowane z innych źródeł i/lub rodzajów dotacji. Jeżeli na przykład całkowita cena wcześniej nabytego </w:t>
      </w:r>
      <w:r w:rsidR="001457A1" w:rsidRPr="00767038">
        <w:rPr>
          <w:lang w:val="pl-PL"/>
        </w:rPr>
        <w:t xml:space="preserve">sprzętu </w:t>
      </w:r>
      <w:r w:rsidRPr="00767038">
        <w:rPr>
          <w:lang w:val="pl-PL"/>
        </w:rPr>
        <w:t xml:space="preserve">została sfinansowania z innej dotacji, amortyzacja takiego </w:t>
      </w:r>
      <w:r w:rsidR="001457A1" w:rsidRPr="00767038">
        <w:rPr>
          <w:lang w:val="pl-PL"/>
        </w:rPr>
        <w:t xml:space="preserve">sprzętu </w:t>
      </w:r>
      <w:r w:rsidRPr="00767038">
        <w:rPr>
          <w:lang w:val="pl-PL"/>
        </w:rPr>
        <w:t>nie może być kosztem kwalifikowalnym w projekcie</w:t>
      </w:r>
      <w:r w:rsidR="004A31C5" w:rsidRPr="00767038">
        <w:rPr>
          <w:lang w:val="pl-PL"/>
        </w:rPr>
        <w:t xml:space="preserve">. </w:t>
      </w:r>
      <w:r w:rsidR="001457A1" w:rsidRPr="00767038">
        <w:rPr>
          <w:lang w:val="pl-PL"/>
        </w:rPr>
        <w:t>Także g</w:t>
      </w:r>
      <w:r w:rsidRPr="00767038">
        <w:rPr>
          <w:lang w:val="pl-PL"/>
        </w:rPr>
        <w:t>rzywny</w:t>
      </w:r>
      <w:r w:rsidR="004A31C5" w:rsidRPr="00767038">
        <w:rPr>
          <w:lang w:val="pl-PL"/>
        </w:rPr>
        <w:t xml:space="preserve">, </w:t>
      </w:r>
      <w:r w:rsidRPr="00767038">
        <w:rPr>
          <w:lang w:val="pl-PL"/>
        </w:rPr>
        <w:t xml:space="preserve">kary i koszty </w:t>
      </w:r>
      <w:r w:rsidR="001457A1" w:rsidRPr="00767038">
        <w:rPr>
          <w:lang w:val="pl-PL"/>
        </w:rPr>
        <w:t>postępowania sądowego</w:t>
      </w:r>
      <w:r w:rsidRPr="00767038">
        <w:rPr>
          <w:lang w:val="pl-PL"/>
        </w:rPr>
        <w:t xml:space="preserve">, z </w:t>
      </w:r>
      <w:r w:rsidR="001457A1" w:rsidRPr="00767038">
        <w:rPr>
          <w:lang w:val="pl-PL"/>
        </w:rPr>
        <w:t>wyjątkiem postępowań</w:t>
      </w:r>
      <w:r w:rsidRPr="00767038">
        <w:rPr>
          <w:lang w:val="pl-PL"/>
        </w:rPr>
        <w:t xml:space="preserve">, </w:t>
      </w:r>
      <w:r w:rsidR="001457A1" w:rsidRPr="00767038">
        <w:rPr>
          <w:lang w:val="pl-PL"/>
        </w:rPr>
        <w:t>które</w:t>
      </w:r>
      <w:r w:rsidRPr="00767038">
        <w:rPr>
          <w:lang w:val="pl-PL"/>
        </w:rPr>
        <w:t xml:space="preserve"> stanowią </w:t>
      </w:r>
      <w:r w:rsidR="001457A1" w:rsidRPr="00767038">
        <w:rPr>
          <w:lang w:val="pl-PL"/>
        </w:rPr>
        <w:t xml:space="preserve">element </w:t>
      </w:r>
      <w:r w:rsidRPr="00767038">
        <w:rPr>
          <w:lang w:val="pl-PL"/>
        </w:rPr>
        <w:t xml:space="preserve">integralny i </w:t>
      </w:r>
      <w:r w:rsidR="001457A1" w:rsidRPr="00767038">
        <w:rPr>
          <w:lang w:val="pl-PL"/>
        </w:rPr>
        <w:t>konieczny do</w:t>
      </w:r>
      <w:r w:rsidRPr="00767038">
        <w:rPr>
          <w:lang w:val="pl-PL"/>
        </w:rPr>
        <w:t xml:space="preserve"> osiągnięcia </w:t>
      </w:r>
      <w:r w:rsidR="001457A1" w:rsidRPr="00767038">
        <w:rPr>
          <w:lang w:val="pl-PL"/>
        </w:rPr>
        <w:t>rezultatów</w:t>
      </w:r>
      <w:r w:rsidRPr="00767038">
        <w:rPr>
          <w:lang w:val="pl-PL"/>
        </w:rPr>
        <w:t xml:space="preserve"> projektu (art. </w:t>
      </w:r>
      <w:r w:rsidR="004A31C5" w:rsidRPr="00767038">
        <w:rPr>
          <w:lang w:val="pl-PL"/>
        </w:rPr>
        <w:t>8.7.2</w:t>
      </w:r>
      <w:r w:rsidRPr="00767038">
        <w:rPr>
          <w:lang w:val="pl-PL"/>
        </w:rPr>
        <w:t xml:space="preserve"> lit.</w:t>
      </w:r>
      <w:r w:rsidR="004A31C5" w:rsidRPr="00767038">
        <w:rPr>
          <w:lang w:val="pl-PL"/>
        </w:rPr>
        <w:t xml:space="preserve"> (g)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4A31C5" w:rsidRPr="00767038">
        <w:rPr>
          <w:lang w:val="pl-PL"/>
        </w:rPr>
        <w:t>)</w:t>
      </w:r>
      <w:r w:rsidRPr="00767038">
        <w:rPr>
          <w:lang w:val="pl-PL"/>
        </w:rPr>
        <w:t>.</w:t>
      </w:r>
    </w:p>
    <w:p w:rsidR="00FC33D4" w:rsidRPr="00767038" w:rsidRDefault="00E54279" w:rsidP="00376576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lastRenderedPageBreak/>
        <w:t>Żadnych grzyw</w:t>
      </w:r>
      <w:r w:rsidR="00E5513F">
        <w:rPr>
          <w:lang w:val="pl-PL"/>
        </w:rPr>
        <w:t>ie</w:t>
      </w:r>
      <w:r w:rsidRPr="00767038">
        <w:rPr>
          <w:lang w:val="pl-PL"/>
        </w:rPr>
        <w:t xml:space="preserve">n lub kar, które nakłada się na </w:t>
      </w:r>
      <w:r w:rsidR="00AC25C8" w:rsidRPr="00767038">
        <w:rPr>
          <w:lang w:val="pl-PL"/>
        </w:rPr>
        <w:t>beneficjenta</w:t>
      </w:r>
      <w:r w:rsidRPr="00767038">
        <w:rPr>
          <w:lang w:val="pl-PL"/>
        </w:rPr>
        <w:t>, nie można uwzględnić jako wydatki kwalifikowalne</w:t>
      </w:r>
      <w:r w:rsidR="00FC33D4" w:rsidRPr="00767038">
        <w:rPr>
          <w:lang w:val="pl-PL"/>
        </w:rPr>
        <w:t xml:space="preserve">. </w:t>
      </w:r>
      <w:r w:rsidRPr="00767038">
        <w:rPr>
          <w:lang w:val="pl-PL"/>
        </w:rPr>
        <w:t>Na przykład grzyw</w:t>
      </w:r>
      <w:r w:rsidR="00E5513F">
        <w:rPr>
          <w:lang w:val="pl-PL"/>
        </w:rPr>
        <w:t>ie</w:t>
      </w:r>
      <w:r w:rsidRPr="00767038">
        <w:rPr>
          <w:lang w:val="pl-PL"/>
        </w:rPr>
        <w:t>n nałożonych przez organy publiczne ze względu na brak środków bezpieczeństwa na placu budowy, grzyw</w:t>
      </w:r>
      <w:r w:rsidR="00E5513F">
        <w:rPr>
          <w:lang w:val="pl-PL"/>
        </w:rPr>
        <w:t>ie</w:t>
      </w:r>
      <w:r w:rsidRPr="00767038">
        <w:rPr>
          <w:lang w:val="pl-PL"/>
        </w:rPr>
        <w:t xml:space="preserve">n za nieprawidłowe parkowanie, wypadki w miejscu pracy skutkujące roszczeniami przeciw </w:t>
      </w:r>
      <w:r w:rsidR="00AC25C8" w:rsidRPr="00767038">
        <w:rPr>
          <w:lang w:val="pl-PL"/>
        </w:rPr>
        <w:t>beneficjent</w:t>
      </w:r>
      <w:r w:rsidR="001457A1" w:rsidRPr="00767038">
        <w:rPr>
          <w:lang w:val="pl-PL"/>
        </w:rPr>
        <w:t>owi</w:t>
      </w:r>
      <w:r w:rsidRPr="00767038">
        <w:rPr>
          <w:lang w:val="pl-PL"/>
        </w:rPr>
        <w:t>;</w:t>
      </w:r>
    </w:p>
    <w:p w:rsidR="00A418CA" w:rsidRPr="00767038" w:rsidRDefault="001457A1" w:rsidP="00767038">
      <w:pPr>
        <w:pStyle w:val="Akapitzlist"/>
        <w:numPr>
          <w:ilvl w:val="0"/>
          <w:numId w:val="8"/>
        </w:numPr>
        <w:rPr>
          <w:lang w:val="pl-PL"/>
        </w:rPr>
      </w:pPr>
      <w:r w:rsidRPr="00767038">
        <w:rPr>
          <w:lang w:val="pl-PL"/>
        </w:rPr>
        <w:t>wydatki niepotrzebne</w:t>
      </w:r>
      <w:r w:rsidR="00E54279" w:rsidRPr="00767038">
        <w:rPr>
          <w:lang w:val="pl-PL"/>
        </w:rPr>
        <w:t xml:space="preserve"> lub nierozważne </w:t>
      </w:r>
      <w:r w:rsidR="00B9272D" w:rsidRPr="00767038">
        <w:rPr>
          <w:lang w:val="pl-PL"/>
        </w:rPr>
        <w:t>(</w:t>
      </w:r>
      <w:r w:rsidR="00E54279" w:rsidRPr="00767038">
        <w:rPr>
          <w:lang w:val="pl-PL"/>
        </w:rPr>
        <w:t>a</w:t>
      </w:r>
      <w:r w:rsidR="00B9272D" w:rsidRPr="00767038">
        <w:rPr>
          <w:lang w:val="pl-PL"/>
        </w:rPr>
        <w:t xml:space="preserve">rt 8.7.2 </w:t>
      </w:r>
      <w:r w:rsidR="00E54279" w:rsidRPr="00767038">
        <w:rPr>
          <w:lang w:val="pl-PL"/>
        </w:rPr>
        <w:t xml:space="preserve">lit. </w:t>
      </w:r>
      <w:r w:rsidR="00B9272D" w:rsidRPr="00767038">
        <w:rPr>
          <w:lang w:val="pl-PL"/>
        </w:rPr>
        <w:t>(h)</w:t>
      </w:r>
      <w:r w:rsidR="00E54279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B9272D" w:rsidRPr="00767038">
        <w:rPr>
          <w:lang w:val="pl-PL"/>
        </w:rPr>
        <w:t>)</w:t>
      </w:r>
      <w:r w:rsidR="00E54279" w:rsidRPr="00767038">
        <w:rPr>
          <w:lang w:val="pl-PL"/>
        </w:rPr>
        <w:t>.</w:t>
      </w:r>
    </w:p>
    <w:p w:rsidR="00B9272D" w:rsidRDefault="008A780E" w:rsidP="00376576">
      <w:pPr>
        <w:pStyle w:val="Akapitzlist"/>
        <w:ind w:left="1077"/>
        <w:rPr>
          <w:lang w:val="pl-PL"/>
        </w:rPr>
      </w:pPr>
      <w:r w:rsidRPr="00767038">
        <w:rPr>
          <w:lang w:val="pl-PL"/>
        </w:rPr>
        <w:t xml:space="preserve">Powyższe należy rozpatrywać w powiązaniu z art. </w:t>
      </w:r>
      <w:r w:rsidR="00B9272D" w:rsidRPr="00767038">
        <w:rPr>
          <w:lang w:val="pl-PL"/>
        </w:rPr>
        <w:t xml:space="preserve">8.2.2 </w:t>
      </w:r>
      <w:r w:rsidRPr="00767038">
        <w:rPr>
          <w:lang w:val="pl-PL"/>
        </w:rPr>
        <w:t xml:space="preserve">lit. </w:t>
      </w:r>
      <w:r w:rsidR="00B9272D" w:rsidRPr="00767038">
        <w:rPr>
          <w:lang w:val="pl-PL"/>
        </w:rPr>
        <w:t>(c)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, który stanowi, że wydatki kwalifikowalne muszą być „… proporcjonalne i niezbędne </w:t>
      </w:r>
      <w:r w:rsidR="000B6E1A" w:rsidRPr="00767038">
        <w:rPr>
          <w:lang w:val="pl-PL"/>
        </w:rPr>
        <w:t>do wdrożenia</w:t>
      </w:r>
      <w:r w:rsidRPr="00767038">
        <w:rPr>
          <w:lang w:val="pl-PL"/>
        </w:rPr>
        <w:t xml:space="preserve"> projektu”. Na przykład nabycie nowoczesnego </w:t>
      </w:r>
      <w:r w:rsidR="000B6E1A" w:rsidRPr="00767038">
        <w:rPr>
          <w:lang w:val="pl-PL"/>
        </w:rPr>
        <w:t>sprzętu</w:t>
      </w:r>
      <w:r w:rsidRPr="00767038">
        <w:rPr>
          <w:lang w:val="pl-PL"/>
        </w:rPr>
        <w:t xml:space="preserve"> w sytuacji, w której tańsze opcje zaspokoiłyby te same potrzeby</w:t>
      </w:r>
      <w:r w:rsidR="008C2068">
        <w:rPr>
          <w:lang w:val="pl-PL"/>
        </w:rPr>
        <w:t>.</w:t>
      </w:r>
    </w:p>
    <w:p w:rsidR="008C2068" w:rsidRPr="00767038" w:rsidRDefault="008C2068" w:rsidP="00376576">
      <w:pPr>
        <w:pStyle w:val="Akapitzlist"/>
        <w:ind w:left="1077"/>
        <w:rPr>
          <w:lang w:val="pl-PL"/>
        </w:rPr>
      </w:pPr>
    </w:p>
    <w:p w:rsidR="00851093" w:rsidRPr="00767038" w:rsidRDefault="008A780E" w:rsidP="00A0039A">
      <w:pPr>
        <w:pStyle w:val="Nagwek2"/>
        <w:rPr>
          <w:lang w:val="pl-PL"/>
        </w:rPr>
      </w:pPr>
      <w:bookmarkStart w:id="59" w:name="_Ref462389994"/>
      <w:bookmarkStart w:id="60" w:name="_Toc505238512"/>
      <w:r w:rsidRPr="00767038">
        <w:rPr>
          <w:iCs/>
          <w:lang w:val="pl-PL"/>
        </w:rPr>
        <w:t>Systemy zarządzania i kontroli</w:t>
      </w:r>
      <w:r w:rsidR="00EA0104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EA0104" w:rsidRPr="00767038">
        <w:rPr>
          <w:iCs/>
          <w:lang w:val="pl-PL"/>
        </w:rPr>
        <w:t>rt. 5.1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EA0104" w:rsidRPr="00767038">
        <w:rPr>
          <w:iCs/>
          <w:lang w:val="pl-PL"/>
        </w:rPr>
        <w:t>)</w:t>
      </w:r>
      <w:bookmarkEnd w:id="59"/>
      <w:bookmarkEnd w:id="60"/>
    </w:p>
    <w:p w:rsidR="00F377C0" w:rsidRPr="00767038" w:rsidRDefault="00112756" w:rsidP="00376576">
      <w:pPr>
        <w:rPr>
          <w:lang w:val="pl-PL"/>
        </w:rPr>
      </w:pPr>
      <w:r w:rsidRPr="00767038">
        <w:rPr>
          <w:lang w:val="pl-PL"/>
        </w:rPr>
        <w:t>O</w:t>
      </w:r>
      <w:r w:rsidR="00BF54F2" w:rsidRPr="00767038">
        <w:rPr>
          <w:lang w:val="pl-PL"/>
        </w:rPr>
        <w:t>dpowiednie systemy zarządzania i kontroli (SZK</w:t>
      </w:r>
      <w:r w:rsidR="00F377C0" w:rsidRPr="00767038">
        <w:rPr>
          <w:lang w:val="pl-PL"/>
        </w:rPr>
        <w:t>)</w:t>
      </w:r>
      <w:r w:rsidR="00BF54F2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powinny zostać </w:t>
      </w:r>
      <w:r w:rsidR="00A35E94" w:rsidRPr="00767038">
        <w:rPr>
          <w:lang w:val="pl-PL"/>
        </w:rPr>
        <w:t>przygotowane</w:t>
      </w:r>
      <w:r w:rsidRPr="00767038">
        <w:rPr>
          <w:lang w:val="pl-PL"/>
        </w:rPr>
        <w:t xml:space="preserve">, </w:t>
      </w:r>
      <w:r w:rsidR="00BF54F2" w:rsidRPr="00767038">
        <w:rPr>
          <w:lang w:val="pl-PL"/>
        </w:rPr>
        <w:t xml:space="preserve">w celu zapewnienia przestrzegania zasad </w:t>
      </w:r>
      <w:r w:rsidR="004067F1">
        <w:rPr>
          <w:lang w:val="pl-PL"/>
        </w:rPr>
        <w:t>odpowiedzialności</w:t>
      </w:r>
      <w:r w:rsidRPr="00767038">
        <w:rPr>
          <w:lang w:val="pl-PL"/>
        </w:rPr>
        <w:t>, gospodarności, efektywności i skuteczności.</w:t>
      </w:r>
    </w:p>
    <w:p w:rsidR="00F377C0" w:rsidRDefault="00BF54F2" w:rsidP="0083438A">
      <w:pPr>
        <w:rPr>
          <w:lang w:val="pl-PL"/>
        </w:rPr>
      </w:pPr>
      <w:r w:rsidRPr="00767038">
        <w:rPr>
          <w:lang w:val="pl-PL"/>
        </w:rPr>
        <w:t>SZK tworzy się na poziomie krajowym i programu, jak szczegółowo przedstawiono poniżej</w:t>
      </w:r>
      <w:r w:rsidR="00F377C0" w:rsidRPr="00767038">
        <w:rPr>
          <w:lang w:val="pl-PL"/>
        </w:rPr>
        <w:t>.</w:t>
      </w:r>
    </w:p>
    <w:p w:rsidR="00476BDF" w:rsidRPr="00767038" w:rsidRDefault="00476BDF" w:rsidP="0083438A">
      <w:pPr>
        <w:rPr>
          <w:lang w:val="pl-PL"/>
        </w:rPr>
      </w:pPr>
      <w:proofErr w:type="spellStart"/>
      <w:r>
        <w:rPr>
          <w:rFonts w:eastAsia="Calibri" w:cs="Times New Roman"/>
        </w:rPr>
        <w:t>Przy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przygotowaniu</w:t>
      </w:r>
      <w:proofErr w:type="spellEnd"/>
      <w:r>
        <w:rPr>
          <w:rFonts w:eastAsia="Calibri" w:cs="Times New Roman"/>
        </w:rPr>
        <w:t xml:space="preserve"> SZK </w:t>
      </w:r>
      <w:proofErr w:type="spellStart"/>
      <w:r>
        <w:rPr>
          <w:rFonts w:eastAsia="Calibri" w:cs="Times New Roman"/>
        </w:rPr>
        <w:t>istotnym</w:t>
      </w:r>
      <w:proofErr w:type="spellEnd"/>
      <w:r>
        <w:rPr>
          <w:rFonts w:eastAsia="Calibri" w:cs="Times New Roman"/>
        </w:rPr>
        <w:t xml:space="preserve"> jest, by </w:t>
      </w:r>
      <w:proofErr w:type="spellStart"/>
      <w:r w:rsidR="00C522D7">
        <w:rPr>
          <w:rFonts w:eastAsia="Calibri" w:cs="Times New Roman"/>
        </w:rPr>
        <w:t>opisy</w:t>
      </w:r>
      <w:proofErr w:type="spellEnd"/>
      <w:r w:rsidR="00C522D7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zada</w:t>
      </w:r>
      <w:r w:rsidR="00C522D7">
        <w:rPr>
          <w:rFonts w:eastAsia="Calibri" w:cs="Times New Roman"/>
        </w:rPr>
        <w:t>ń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obowiązk</w:t>
      </w:r>
      <w:r w:rsidR="00C522D7">
        <w:rPr>
          <w:rFonts w:eastAsia="Calibri" w:cs="Times New Roman"/>
        </w:rPr>
        <w:t>ów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każdej</w:t>
      </w:r>
      <w:proofErr w:type="spellEnd"/>
      <w:r>
        <w:rPr>
          <w:rFonts w:eastAsia="Calibri" w:cs="Times New Roman"/>
        </w:rPr>
        <w:t xml:space="preserve"> z </w:t>
      </w:r>
      <w:proofErr w:type="spellStart"/>
      <w:r>
        <w:rPr>
          <w:rFonts w:eastAsia="Calibri" w:cs="Times New Roman"/>
        </w:rPr>
        <w:t>instytucji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zawierały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sposób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="00C522D7">
        <w:rPr>
          <w:rFonts w:eastAsia="Calibri" w:cs="Times New Roman"/>
        </w:rPr>
        <w:t>ich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wykonywan</w:t>
      </w:r>
      <w:r w:rsidR="00C522D7">
        <w:rPr>
          <w:rFonts w:eastAsia="Calibri" w:cs="Times New Roman"/>
        </w:rPr>
        <w:t>ia</w:t>
      </w:r>
      <w:proofErr w:type="spellEnd"/>
      <w:r>
        <w:rPr>
          <w:rFonts w:eastAsia="Calibri" w:cs="Times New Roman"/>
        </w:rPr>
        <w:t>.</w:t>
      </w:r>
    </w:p>
    <w:p w:rsidR="00851093" w:rsidRPr="00767038" w:rsidRDefault="00BF54F2" w:rsidP="00BE6F8F">
      <w:pPr>
        <w:pStyle w:val="Nagwek4"/>
        <w:ind w:left="864" w:hanging="864"/>
        <w:rPr>
          <w:noProof/>
          <w:lang w:val="pl-PL"/>
        </w:rPr>
      </w:pPr>
      <w:r w:rsidRPr="00767038">
        <w:rPr>
          <w:noProof/>
          <w:lang w:val="pl-PL"/>
        </w:rPr>
        <w:t>S</w:t>
      </w:r>
      <w:r w:rsidR="00112756" w:rsidRPr="00767038">
        <w:rPr>
          <w:noProof/>
          <w:lang w:val="pl-PL"/>
        </w:rPr>
        <w:t>ystem zarządzania i kontroli</w:t>
      </w:r>
      <w:r w:rsidRPr="00767038">
        <w:rPr>
          <w:noProof/>
          <w:lang w:val="pl-PL"/>
        </w:rPr>
        <w:t xml:space="preserve"> na poziomie krajowym</w:t>
      </w:r>
    </w:p>
    <w:p w:rsidR="00E33DC1" w:rsidRPr="00767038" w:rsidRDefault="00BF54F2" w:rsidP="00376576">
      <w:pPr>
        <w:rPr>
          <w:lang w:val="pl-PL"/>
        </w:rPr>
      </w:pPr>
      <w:r w:rsidRPr="00767038">
        <w:rPr>
          <w:lang w:val="pl-PL"/>
        </w:rPr>
        <w:t>Władze krajowe są zobowiązane do stworzenia systemów, które zapewnią, że będą one w stanie wypełni</w:t>
      </w:r>
      <w:r w:rsidR="005E4CB9" w:rsidRPr="00767038">
        <w:rPr>
          <w:lang w:val="pl-PL"/>
        </w:rPr>
        <w:t>a</w:t>
      </w:r>
      <w:r w:rsidRPr="00767038">
        <w:rPr>
          <w:lang w:val="pl-PL"/>
        </w:rPr>
        <w:t xml:space="preserve">ć swoje obowiązki zgodnie z </w:t>
      </w:r>
      <w:r w:rsidR="005A62D3" w:rsidRPr="00767038">
        <w:rPr>
          <w:lang w:val="pl-PL"/>
        </w:rPr>
        <w:t>Regulacjami</w:t>
      </w:r>
      <w:r w:rsidR="00FD67FA" w:rsidRPr="00767038">
        <w:rPr>
          <w:lang w:val="pl-PL"/>
        </w:rPr>
        <w:t xml:space="preserve">. </w:t>
      </w:r>
    </w:p>
    <w:p w:rsidR="00851093" w:rsidRPr="00767038" w:rsidRDefault="00BF54F2" w:rsidP="00376576">
      <w:pPr>
        <w:rPr>
          <w:lang w:val="pl-PL"/>
        </w:rPr>
      </w:pPr>
      <w:r w:rsidRPr="00767038">
        <w:rPr>
          <w:lang w:val="pl-PL"/>
        </w:rPr>
        <w:t xml:space="preserve">KPK jest odpowiedzialny za przedłożenie opisu </w:t>
      </w:r>
      <w:r w:rsidR="00737DAA" w:rsidRPr="00767038">
        <w:rPr>
          <w:lang w:val="pl-PL"/>
        </w:rPr>
        <w:t>s</w:t>
      </w:r>
      <w:r w:rsidR="00112756" w:rsidRPr="00767038">
        <w:rPr>
          <w:lang w:val="pl-PL"/>
        </w:rPr>
        <w:t>ystemu zarządzania i kontroli</w:t>
      </w:r>
      <w:r w:rsidRPr="00767038">
        <w:rPr>
          <w:lang w:val="pl-PL"/>
        </w:rPr>
        <w:t xml:space="preserve"> na poziomie krajowym</w:t>
      </w:r>
      <w:r w:rsidR="00851093" w:rsidRPr="00767038">
        <w:rPr>
          <w:lang w:val="pl-PL"/>
        </w:rPr>
        <w:t>.</w:t>
      </w:r>
      <w:r w:rsidRPr="00767038">
        <w:rPr>
          <w:lang w:val="pl-PL"/>
        </w:rPr>
        <w:t xml:space="preserve"> SZK opisują między innymi strukturę organizacyjną i procedury KPK, IC, IA, Instytucji ds. </w:t>
      </w:r>
      <w:r w:rsidR="00112756" w:rsidRPr="00767038">
        <w:rPr>
          <w:lang w:val="pl-PL"/>
        </w:rPr>
        <w:t>n</w:t>
      </w:r>
      <w:r w:rsidRPr="00767038">
        <w:rPr>
          <w:lang w:val="pl-PL"/>
        </w:rPr>
        <w:t xml:space="preserve">ieprawidłowości oraz pozostałych </w:t>
      </w:r>
      <w:r w:rsidR="00112756" w:rsidRPr="00767038">
        <w:rPr>
          <w:lang w:val="pl-PL"/>
        </w:rPr>
        <w:t xml:space="preserve">instytucji </w:t>
      </w:r>
      <w:r w:rsidRPr="00767038">
        <w:rPr>
          <w:lang w:val="pl-PL"/>
        </w:rPr>
        <w:t>krajowych, które są zaangażowane we wdrażanie Mechanizmu Finansowego EOG i Norweskiego Mechanizmu Finansowego lub przeprowadzanie audytów</w:t>
      </w:r>
      <w:r w:rsidR="00851093" w:rsidRPr="00767038">
        <w:rPr>
          <w:lang w:val="pl-PL"/>
        </w:rPr>
        <w:t xml:space="preserve">. </w:t>
      </w:r>
    </w:p>
    <w:p w:rsidR="00633A75" w:rsidRPr="00767038" w:rsidRDefault="00BF54F2" w:rsidP="00633A75">
      <w:pPr>
        <w:rPr>
          <w:lang w:val="pl-PL"/>
        </w:rPr>
      </w:pPr>
      <w:r w:rsidRPr="00767038">
        <w:rPr>
          <w:lang w:val="pl-PL"/>
        </w:rPr>
        <w:t xml:space="preserve">SZK na poziomie krajowym opisują między innymi, w jaki sposób KPK będzie na bieżąco monitorować program pod </w:t>
      </w:r>
      <w:r w:rsidR="00112756" w:rsidRPr="00767038">
        <w:rPr>
          <w:lang w:val="pl-PL"/>
        </w:rPr>
        <w:t>kątem ich</w:t>
      </w:r>
      <w:r w:rsidRPr="00767038">
        <w:rPr>
          <w:lang w:val="pl-PL"/>
        </w:rPr>
        <w:t xml:space="preserve"> postęp</w:t>
      </w:r>
      <w:r w:rsidR="00112756" w:rsidRPr="00767038">
        <w:rPr>
          <w:lang w:val="pl-PL"/>
        </w:rPr>
        <w:t>ów w</w:t>
      </w:r>
      <w:r w:rsidRPr="00767038">
        <w:rPr>
          <w:lang w:val="pl-PL"/>
        </w:rPr>
        <w:t xml:space="preserve"> osiąg</w:t>
      </w:r>
      <w:r w:rsidR="00112756" w:rsidRPr="00767038">
        <w:rPr>
          <w:lang w:val="pl-PL"/>
        </w:rPr>
        <w:t>aniu</w:t>
      </w:r>
      <w:r w:rsidRPr="00767038">
        <w:rPr>
          <w:lang w:val="pl-PL"/>
        </w:rPr>
        <w:t xml:space="preserve"> </w:t>
      </w:r>
      <w:r w:rsidR="00112756" w:rsidRPr="00767038">
        <w:rPr>
          <w:lang w:val="pl-PL"/>
        </w:rPr>
        <w:t>rezultatu/rezultatów i celu/celów</w:t>
      </w:r>
      <w:r w:rsidRPr="00767038">
        <w:rPr>
          <w:lang w:val="pl-PL"/>
        </w:rPr>
        <w:t xml:space="preserve"> programu (art. </w:t>
      </w:r>
      <w:r w:rsidR="00633A75" w:rsidRPr="00767038">
        <w:rPr>
          <w:szCs w:val="20"/>
          <w:lang w:val="pl-PL"/>
        </w:rPr>
        <w:t>5.3.4</w:t>
      </w:r>
      <w:r w:rsidRPr="00767038">
        <w:rPr>
          <w:szCs w:val="20"/>
          <w:lang w:val="pl-PL"/>
        </w:rPr>
        <w:t xml:space="preserve"> </w:t>
      </w:r>
      <w:r w:rsidR="005A62D3" w:rsidRPr="00767038">
        <w:rPr>
          <w:szCs w:val="20"/>
          <w:lang w:val="pl-PL"/>
        </w:rPr>
        <w:t>Regulacji</w:t>
      </w:r>
      <w:r w:rsidR="00633A75" w:rsidRPr="00767038">
        <w:rPr>
          <w:szCs w:val="20"/>
          <w:lang w:val="pl-PL"/>
        </w:rPr>
        <w:t xml:space="preserve">). </w:t>
      </w:r>
      <w:r w:rsidR="00112756" w:rsidRPr="00767038">
        <w:rPr>
          <w:szCs w:val="20"/>
          <w:lang w:val="pl-PL"/>
        </w:rPr>
        <w:t xml:space="preserve">Szczegółowe informacje dotyczące </w:t>
      </w:r>
      <w:r w:rsidR="00B171C0" w:rsidRPr="00767038">
        <w:rPr>
          <w:szCs w:val="20"/>
          <w:lang w:val="pl-PL"/>
        </w:rPr>
        <w:t xml:space="preserve">monitorowania zgodności, </w:t>
      </w:r>
      <w:proofErr w:type="spellStart"/>
      <w:r w:rsidR="00B171C0" w:rsidRPr="00767038">
        <w:rPr>
          <w:szCs w:val="20"/>
          <w:lang w:val="pl-PL"/>
        </w:rPr>
        <w:t>ryzyk</w:t>
      </w:r>
      <w:proofErr w:type="spellEnd"/>
      <w:r w:rsidR="00B171C0" w:rsidRPr="00767038">
        <w:rPr>
          <w:szCs w:val="20"/>
          <w:lang w:val="pl-PL"/>
        </w:rPr>
        <w:t xml:space="preserve"> oraz osiągania </w:t>
      </w:r>
      <w:r w:rsidR="00112756" w:rsidRPr="00767038">
        <w:rPr>
          <w:szCs w:val="20"/>
          <w:lang w:val="pl-PL"/>
        </w:rPr>
        <w:t xml:space="preserve">rezultatów zostały zawarte w </w:t>
      </w:r>
      <w:proofErr w:type="spellStart"/>
      <w:r w:rsidR="00112756" w:rsidRPr="00767038">
        <w:rPr>
          <w:szCs w:val="20"/>
          <w:lang w:val="pl-PL"/>
        </w:rPr>
        <w:t>Result</w:t>
      </w:r>
      <w:proofErr w:type="spellEnd"/>
      <w:r w:rsidR="00112756" w:rsidRPr="00767038">
        <w:rPr>
          <w:szCs w:val="20"/>
          <w:lang w:val="pl-PL"/>
        </w:rPr>
        <w:t xml:space="preserve"> </w:t>
      </w:r>
      <w:proofErr w:type="spellStart"/>
      <w:r w:rsidR="00112756" w:rsidRPr="00767038">
        <w:rPr>
          <w:szCs w:val="20"/>
          <w:lang w:val="pl-PL"/>
        </w:rPr>
        <w:t>Guideline</w:t>
      </w:r>
      <w:proofErr w:type="spellEnd"/>
      <w:r w:rsidR="00112756" w:rsidRPr="00767038">
        <w:rPr>
          <w:szCs w:val="20"/>
          <w:lang w:val="pl-PL"/>
        </w:rPr>
        <w:t xml:space="preserve">. </w:t>
      </w:r>
    </w:p>
    <w:p w:rsidR="00CD5AD4" w:rsidRPr="00767038" w:rsidRDefault="00BF54F2" w:rsidP="00376576">
      <w:pPr>
        <w:rPr>
          <w:lang w:val="pl-PL"/>
        </w:rPr>
      </w:pPr>
      <w:r w:rsidRPr="00767038">
        <w:rPr>
          <w:lang w:val="pl-PL"/>
        </w:rPr>
        <w:t xml:space="preserve">SZK na poziomie krajowym </w:t>
      </w:r>
      <w:r w:rsidR="00B171C0" w:rsidRPr="00767038">
        <w:rPr>
          <w:lang w:val="pl-PL"/>
        </w:rPr>
        <w:t xml:space="preserve">powinien </w:t>
      </w:r>
      <w:r w:rsidR="00A35E94" w:rsidRPr="00767038">
        <w:rPr>
          <w:lang w:val="pl-PL"/>
        </w:rPr>
        <w:t>zostać złożony</w:t>
      </w:r>
      <w:r w:rsidR="00B171C0" w:rsidRPr="00767038">
        <w:rPr>
          <w:lang w:val="pl-PL"/>
        </w:rPr>
        <w:t xml:space="preserve"> do</w:t>
      </w:r>
      <w:r w:rsidRPr="00767038">
        <w:rPr>
          <w:lang w:val="pl-PL"/>
        </w:rPr>
        <w:t xml:space="preserve"> BMF w ciągu sześciu miesięcy od </w:t>
      </w:r>
      <w:r w:rsidR="00B171C0" w:rsidRPr="00767038">
        <w:rPr>
          <w:lang w:val="pl-PL"/>
        </w:rPr>
        <w:t xml:space="preserve">dnia złożenia ostatniego podpisu pod </w:t>
      </w:r>
      <w:proofErr w:type="spellStart"/>
      <w:r w:rsidR="00B171C0" w:rsidRPr="00767038">
        <w:rPr>
          <w:lang w:val="pl-PL"/>
        </w:rPr>
        <w:t>MoU</w:t>
      </w:r>
      <w:proofErr w:type="spellEnd"/>
      <w:r w:rsidRPr="00767038">
        <w:rPr>
          <w:lang w:val="pl-PL"/>
        </w:rPr>
        <w:t xml:space="preserve"> (art. </w:t>
      </w:r>
      <w:r w:rsidR="00CD5AD4" w:rsidRPr="00767038">
        <w:rPr>
          <w:lang w:val="pl-PL"/>
        </w:rPr>
        <w:t>5.7.1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CD5AD4" w:rsidRPr="00767038">
        <w:rPr>
          <w:lang w:val="pl-PL"/>
        </w:rPr>
        <w:t xml:space="preserve">). </w:t>
      </w:r>
    </w:p>
    <w:p w:rsidR="00851093" w:rsidRPr="00767038" w:rsidRDefault="00BF54F2" w:rsidP="00376576">
      <w:pPr>
        <w:rPr>
          <w:lang w:val="pl-PL"/>
        </w:rPr>
      </w:pPr>
      <w:r w:rsidRPr="00767038">
        <w:rPr>
          <w:lang w:val="pl-PL"/>
        </w:rPr>
        <w:t>BMF</w:t>
      </w:r>
      <w:r w:rsidR="00B171C0" w:rsidRPr="00767038">
        <w:rPr>
          <w:lang w:val="pl-PL"/>
        </w:rPr>
        <w:t xml:space="preserve"> przed dokonaniem pierwszej płatności na program, </w:t>
      </w:r>
      <w:r w:rsidR="00476B95">
        <w:rPr>
          <w:lang w:val="pl-PL"/>
        </w:rPr>
        <w:t>P</w:t>
      </w:r>
      <w:r w:rsidR="00B171C0" w:rsidRPr="00767038">
        <w:rPr>
          <w:lang w:val="pl-PL"/>
        </w:rPr>
        <w:t>T lub Fundusz Współpracy Dwustronnej</w:t>
      </w:r>
      <w:r w:rsidRPr="00767038">
        <w:rPr>
          <w:lang w:val="pl-PL"/>
        </w:rPr>
        <w:t xml:space="preserve"> </w:t>
      </w:r>
      <w:r w:rsidR="00B171C0" w:rsidRPr="00767038">
        <w:rPr>
          <w:lang w:val="pl-PL"/>
        </w:rPr>
        <w:t xml:space="preserve">powinno </w:t>
      </w:r>
      <w:r w:rsidR="00384E5A" w:rsidRPr="00767038">
        <w:rPr>
          <w:lang w:val="pl-PL"/>
        </w:rPr>
        <w:t>z</w:t>
      </w:r>
      <w:r w:rsidRPr="00767038">
        <w:rPr>
          <w:lang w:val="pl-PL"/>
        </w:rPr>
        <w:t>decyd</w:t>
      </w:r>
      <w:r w:rsidR="00B171C0" w:rsidRPr="00767038">
        <w:rPr>
          <w:lang w:val="pl-PL"/>
        </w:rPr>
        <w:t>ować</w:t>
      </w:r>
      <w:r w:rsidRPr="00767038">
        <w:rPr>
          <w:lang w:val="pl-PL"/>
        </w:rPr>
        <w:t>, czy opis SZK spełnia minimalne wymogi</w:t>
      </w:r>
      <w:r w:rsidR="00851093" w:rsidRPr="00767038">
        <w:rPr>
          <w:lang w:val="pl-PL"/>
        </w:rPr>
        <w:t xml:space="preserve">. </w:t>
      </w:r>
      <w:r w:rsidRPr="00767038">
        <w:rPr>
          <w:lang w:val="pl-PL"/>
        </w:rPr>
        <w:t>Powyższe nie ma zastosowania do nadzwyczajnych zaliczek związanych z kosztami przygotowa</w:t>
      </w:r>
      <w:r w:rsidR="00B171C0" w:rsidRPr="00767038">
        <w:rPr>
          <w:lang w:val="pl-PL"/>
        </w:rPr>
        <w:t>nia</w:t>
      </w:r>
      <w:r w:rsidRPr="00767038">
        <w:rPr>
          <w:lang w:val="pl-PL"/>
        </w:rPr>
        <w:t xml:space="preserve"> programów, których dokonuje się zgodnie z art. </w:t>
      </w:r>
      <w:r w:rsidR="00851093" w:rsidRPr="00767038">
        <w:rPr>
          <w:lang w:val="pl-PL"/>
        </w:rPr>
        <w:t>8.10.8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851093" w:rsidRPr="00767038">
        <w:rPr>
          <w:lang w:val="pl-PL"/>
        </w:rPr>
        <w:t>,</w:t>
      </w:r>
      <w:r w:rsidRPr="00767038">
        <w:rPr>
          <w:lang w:val="pl-PL"/>
        </w:rPr>
        <w:t xml:space="preserve"> ani do płatności na Fundusz </w:t>
      </w:r>
      <w:r w:rsidR="00CF7749" w:rsidRPr="00767038">
        <w:rPr>
          <w:lang w:val="pl-PL"/>
        </w:rPr>
        <w:t>Współpracy</w:t>
      </w:r>
      <w:r w:rsidRPr="00767038">
        <w:rPr>
          <w:lang w:val="pl-PL"/>
        </w:rPr>
        <w:t xml:space="preserve"> </w:t>
      </w:r>
      <w:r w:rsidR="00A35E94" w:rsidRPr="00767038">
        <w:rPr>
          <w:lang w:val="pl-PL"/>
        </w:rPr>
        <w:t>Dwustronnej dokonywanej zgodnie</w:t>
      </w:r>
      <w:r w:rsidRPr="00767038">
        <w:rPr>
          <w:lang w:val="pl-PL"/>
        </w:rPr>
        <w:t xml:space="preserve"> z art. </w:t>
      </w:r>
      <w:r w:rsidR="00851093" w:rsidRPr="00767038">
        <w:rPr>
          <w:lang w:val="pl-PL"/>
        </w:rPr>
        <w:t>4.6.4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851093" w:rsidRPr="00767038">
        <w:rPr>
          <w:lang w:val="pl-PL"/>
        </w:rPr>
        <w:t xml:space="preserve">. </w:t>
      </w:r>
    </w:p>
    <w:p w:rsidR="00851093" w:rsidRPr="00767038" w:rsidRDefault="00BF54F2" w:rsidP="00376576">
      <w:pPr>
        <w:rPr>
          <w:lang w:val="pl-PL"/>
        </w:rPr>
      </w:pPr>
      <w:r w:rsidRPr="00767038">
        <w:rPr>
          <w:lang w:val="pl-PL"/>
        </w:rPr>
        <w:t xml:space="preserve">Wszelkie informacje dotyczące SZK </w:t>
      </w:r>
      <w:r w:rsidR="00B171C0" w:rsidRPr="00767038">
        <w:rPr>
          <w:lang w:val="pl-PL"/>
        </w:rPr>
        <w:t>należy składać</w:t>
      </w:r>
      <w:r w:rsidRPr="00767038">
        <w:rPr>
          <w:lang w:val="pl-PL"/>
        </w:rPr>
        <w:t xml:space="preserve"> drogą elektroniczną</w:t>
      </w:r>
      <w:r w:rsidR="00B171C0" w:rsidRPr="00767038">
        <w:rPr>
          <w:lang w:val="pl-PL"/>
        </w:rPr>
        <w:t>,</w:t>
      </w:r>
      <w:r w:rsidRPr="00767038">
        <w:rPr>
          <w:lang w:val="pl-PL"/>
        </w:rPr>
        <w:t xml:space="preserve"> zgodnie z art. </w:t>
      </w:r>
      <w:r w:rsidR="00851093" w:rsidRPr="00767038">
        <w:rPr>
          <w:lang w:val="pl-PL"/>
        </w:rPr>
        <w:t>5.1.3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851093" w:rsidRPr="00767038">
        <w:rPr>
          <w:lang w:val="pl-PL"/>
        </w:rPr>
        <w:t>.</w:t>
      </w:r>
    </w:p>
    <w:p w:rsidR="00851093" w:rsidRPr="00767038" w:rsidRDefault="00BF54F2" w:rsidP="00BE6F8F">
      <w:pPr>
        <w:pStyle w:val="Nagwek4"/>
        <w:ind w:left="864" w:hanging="864"/>
        <w:rPr>
          <w:noProof/>
          <w:lang w:val="pl-PL"/>
        </w:rPr>
      </w:pPr>
      <w:r w:rsidRPr="00767038">
        <w:rPr>
          <w:noProof/>
          <w:lang w:val="pl-PL"/>
        </w:rPr>
        <w:t>S</w:t>
      </w:r>
      <w:r w:rsidR="00B171C0" w:rsidRPr="00767038">
        <w:rPr>
          <w:noProof/>
          <w:lang w:val="pl-PL"/>
        </w:rPr>
        <w:t xml:space="preserve">ystem zarządzania i kontroli </w:t>
      </w:r>
      <w:r w:rsidRPr="00767038">
        <w:rPr>
          <w:noProof/>
          <w:lang w:val="pl-PL"/>
        </w:rPr>
        <w:t>na poziomie programu</w:t>
      </w:r>
    </w:p>
    <w:p w:rsidR="00F377C0" w:rsidRPr="00767038" w:rsidRDefault="00315981" w:rsidP="00376576">
      <w:pPr>
        <w:rPr>
          <w:lang w:val="pl-PL"/>
        </w:rPr>
      </w:pPr>
      <w:r w:rsidRPr="00767038">
        <w:rPr>
          <w:lang w:val="pl-PL"/>
        </w:rPr>
        <w:t>Operator Programu</w:t>
      </w:r>
      <w:r w:rsidR="00BF54F2" w:rsidRPr="00767038">
        <w:rPr>
          <w:lang w:val="pl-PL"/>
        </w:rPr>
        <w:t xml:space="preserve"> </w:t>
      </w:r>
      <w:r w:rsidR="00B171C0" w:rsidRPr="00767038">
        <w:rPr>
          <w:lang w:val="pl-PL"/>
        </w:rPr>
        <w:t xml:space="preserve">przygotowuje </w:t>
      </w:r>
      <w:r w:rsidR="00871B68" w:rsidRPr="00767038">
        <w:rPr>
          <w:lang w:val="pl-PL"/>
        </w:rPr>
        <w:t>opis s</w:t>
      </w:r>
      <w:r w:rsidR="00B171C0" w:rsidRPr="00767038">
        <w:rPr>
          <w:lang w:val="pl-PL"/>
        </w:rPr>
        <w:t>ystem</w:t>
      </w:r>
      <w:r w:rsidR="00871B68" w:rsidRPr="00767038">
        <w:rPr>
          <w:lang w:val="pl-PL"/>
        </w:rPr>
        <w:t>u</w:t>
      </w:r>
      <w:r w:rsidR="00B171C0" w:rsidRPr="00767038">
        <w:rPr>
          <w:lang w:val="pl-PL"/>
        </w:rPr>
        <w:t xml:space="preserve"> zarządzania i kontroli</w:t>
      </w:r>
      <w:r w:rsidR="00BF54F2" w:rsidRPr="00767038">
        <w:rPr>
          <w:lang w:val="pl-PL"/>
        </w:rPr>
        <w:t xml:space="preserve">, </w:t>
      </w:r>
      <w:r w:rsidR="00B171C0" w:rsidRPr="00767038">
        <w:rPr>
          <w:lang w:val="pl-PL"/>
        </w:rPr>
        <w:t>w celu</w:t>
      </w:r>
      <w:r w:rsidR="00480E64" w:rsidRPr="00767038">
        <w:rPr>
          <w:lang w:val="pl-PL"/>
        </w:rPr>
        <w:t xml:space="preserve"> zapewni</w:t>
      </w:r>
      <w:r w:rsidR="00384E5A" w:rsidRPr="00767038">
        <w:rPr>
          <w:lang w:val="pl-PL"/>
        </w:rPr>
        <w:t>a</w:t>
      </w:r>
      <w:r w:rsidR="00480E64" w:rsidRPr="00767038">
        <w:rPr>
          <w:lang w:val="pl-PL"/>
        </w:rPr>
        <w:t xml:space="preserve">, że </w:t>
      </w:r>
      <w:r w:rsidRPr="00767038">
        <w:rPr>
          <w:lang w:val="pl-PL"/>
        </w:rPr>
        <w:t>Operator Programu</w:t>
      </w:r>
      <w:r w:rsidR="00480E64" w:rsidRPr="00767038">
        <w:rPr>
          <w:lang w:val="pl-PL"/>
        </w:rPr>
        <w:t xml:space="preserve"> będzie w stanie wypełnić swoje obowiązki zgodnie z </w:t>
      </w:r>
      <w:r w:rsidR="005A62D3" w:rsidRPr="00767038">
        <w:rPr>
          <w:lang w:val="pl-PL"/>
        </w:rPr>
        <w:t>Regulacjami</w:t>
      </w:r>
      <w:r w:rsidR="00851093" w:rsidRPr="00767038">
        <w:rPr>
          <w:lang w:val="pl-PL"/>
        </w:rPr>
        <w:t>.</w:t>
      </w:r>
    </w:p>
    <w:p w:rsidR="00786D68" w:rsidRPr="00767038" w:rsidRDefault="00480E64" w:rsidP="00376576">
      <w:pPr>
        <w:rPr>
          <w:lang w:val="pl-PL"/>
        </w:rPr>
      </w:pPr>
      <w:r w:rsidRPr="00767038">
        <w:rPr>
          <w:lang w:val="pl-PL"/>
        </w:rPr>
        <w:lastRenderedPageBreak/>
        <w:t>SZK opisuj</w:t>
      </w:r>
      <w:r w:rsidR="00B171C0" w:rsidRPr="00767038">
        <w:rPr>
          <w:lang w:val="pl-PL"/>
        </w:rPr>
        <w:t>e</w:t>
      </w:r>
      <w:r w:rsidRPr="00767038">
        <w:rPr>
          <w:lang w:val="pl-PL"/>
        </w:rPr>
        <w:t xml:space="preserve"> system, który będzie służyć do weryfikacji wydatków, audytu i monitorowania projektów. </w:t>
      </w:r>
      <w:r w:rsidR="00B171C0" w:rsidRPr="00767038">
        <w:rPr>
          <w:szCs w:val="20"/>
          <w:lang w:val="pl-PL"/>
        </w:rPr>
        <w:t xml:space="preserve">Szczegółowe informacje dotyczące monitorowania zgodności, </w:t>
      </w:r>
      <w:proofErr w:type="spellStart"/>
      <w:r w:rsidR="00B171C0" w:rsidRPr="00767038">
        <w:rPr>
          <w:szCs w:val="20"/>
          <w:lang w:val="pl-PL"/>
        </w:rPr>
        <w:t>ryzyk</w:t>
      </w:r>
      <w:proofErr w:type="spellEnd"/>
      <w:r w:rsidR="00B171C0" w:rsidRPr="00767038">
        <w:rPr>
          <w:szCs w:val="20"/>
          <w:lang w:val="pl-PL"/>
        </w:rPr>
        <w:t xml:space="preserve"> oraz osiągania rezultatów zostały zawarte w </w:t>
      </w:r>
      <w:proofErr w:type="spellStart"/>
      <w:r w:rsidR="00B171C0" w:rsidRPr="00767038">
        <w:rPr>
          <w:szCs w:val="20"/>
          <w:lang w:val="pl-PL"/>
        </w:rPr>
        <w:t>Result</w:t>
      </w:r>
      <w:proofErr w:type="spellEnd"/>
      <w:r w:rsidR="00B171C0" w:rsidRPr="00767038">
        <w:rPr>
          <w:szCs w:val="20"/>
          <w:lang w:val="pl-PL"/>
        </w:rPr>
        <w:t xml:space="preserve"> </w:t>
      </w:r>
      <w:proofErr w:type="spellStart"/>
      <w:r w:rsidR="00B171C0" w:rsidRPr="00767038">
        <w:rPr>
          <w:szCs w:val="20"/>
          <w:lang w:val="pl-PL"/>
        </w:rPr>
        <w:t>Guideline</w:t>
      </w:r>
      <w:proofErr w:type="spellEnd"/>
      <w:r w:rsidR="00B171C0" w:rsidRPr="00767038">
        <w:rPr>
          <w:szCs w:val="20"/>
          <w:lang w:val="pl-PL"/>
        </w:rPr>
        <w:t>.</w:t>
      </w:r>
    </w:p>
    <w:p w:rsidR="00E33DC1" w:rsidRPr="00767038" w:rsidRDefault="00B171C0" w:rsidP="00376576">
      <w:pPr>
        <w:rPr>
          <w:lang w:val="pl-PL"/>
        </w:rPr>
      </w:pPr>
      <w:r w:rsidRPr="00767038">
        <w:rPr>
          <w:lang w:val="pl-PL"/>
        </w:rPr>
        <w:t>System o</w:t>
      </w:r>
      <w:r w:rsidR="00480E64" w:rsidRPr="00767038">
        <w:rPr>
          <w:lang w:val="pl-PL"/>
        </w:rPr>
        <w:t xml:space="preserve">pisuje także, w jaki sposób </w:t>
      </w:r>
      <w:r w:rsidR="00315981" w:rsidRPr="00767038">
        <w:rPr>
          <w:lang w:val="pl-PL"/>
        </w:rPr>
        <w:t>Operator Programu</w:t>
      </w:r>
      <w:r w:rsidR="00480E64" w:rsidRPr="00767038">
        <w:rPr>
          <w:lang w:val="pl-PL"/>
        </w:rPr>
        <w:t xml:space="preserve"> będzie monitorować </w:t>
      </w:r>
      <w:r w:rsidR="00AC25C8" w:rsidRPr="00767038">
        <w:rPr>
          <w:lang w:val="pl-PL"/>
        </w:rPr>
        <w:t>beneficjenta</w:t>
      </w:r>
      <w:r w:rsidR="00480E64" w:rsidRPr="00767038">
        <w:rPr>
          <w:lang w:val="pl-PL"/>
        </w:rPr>
        <w:t xml:space="preserve"> i z jaką częstotliwością, gdzie i w jaki sposób będą przechowywane i </w:t>
      </w:r>
      <w:r w:rsidR="00737DAA" w:rsidRPr="00767038">
        <w:rPr>
          <w:lang w:val="pl-PL"/>
        </w:rPr>
        <w:t>wykorzystywane</w:t>
      </w:r>
      <w:r w:rsidRPr="00767038">
        <w:rPr>
          <w:lang w:val="pl-PL"/>
        </w:rPr>
        <w:t xml:space="preserve"> </w:t>
      </w:r>
      <w:r w:rsidR="00480E64" w:rsidRPr="00767038">
        <w:rPr>
          <w:lang w:val="pl-PL"/>
        </w:rPr>
        <w:t xml:space="preserve">informacje na temat monitorowania (w tym monitorowania </w:t>
      </w:r>
      <w:r w:rsidR="00737DAA" w:rsidRPr="00767038">
        <w:rPr>
          <w:lang w:val="pl-PL"/>
        </w:rPr>
        <w:t>rezultatów</w:t>
      </w:r>
      <w:r w:rsidR="00851093" w:rsidRPr="00767038">
        <w:rPr>
          <w:lang w:val="pl-PL"/>
        </w:rPr>
        <w:t xml:space="preserve">), </w:t>
      </w:r>
      <w:r w:rsidR="00480E64" w:rsidRPr="00767038">
        <w:rPr>
          <w:lang w:val="pl-PL"/>
        </w:rPr>
        <w:t>system</w:t>
      </w:r>
      <w:r w:rsidR="00737DAA" w:rsidRPr="00767038">
        <w:rPr>
          <w:lang w:val="pl-PL"/>
        </w:rPr>
        <w:t>u</w:t>
      </w:r>
      <w:r w:rsidR="00480E64" w:rsidRPr="00767038">
        <w:rPr>
          <w:lang w:val="pl-PL"/>
        </w:rPr>
        <w:t xml:space="preserve"> </w:t>
      </w:r>
      <w:r w:rsidR="00A35E94" w:rsidRPr="00767038">
        <w:rPr>
          <w:lang w:val="pl-PL"/>
        </w:rPr>
        <w:t>służącego</w:t>
      </w:r>
      <w:r w:rsidR="00480E64" w:rsidRPr="00767038">
        <w:rPr>
          <w:lang w:val="pl-PL"/>
        </w:rPr>
        <w:t xml:space="preserve"> do zapobiegania i rozwiązywania nieprawidłowości i ustalania ścieżki audytu.</w:t>
      </w:r>
    </w:p>
    <w:p w:rsidR="00F377C0" w:rsidRPr="00767038" w:rsidRDefault="00BE382F" w:rsidP="00376576">
      <w:pPr>
        <w:rPr>
          <w:lang w:val="pl-PL"/>
        </w:rPr>
      </w:pPr>
      <w:r w:rsidRPr="00767038">
        <w:rPr>
          <w:lang w:val="pl-PL"/>
        </w:rPr>
        <w:t>SZK przedkłada się KPK dla każdego szczegółowego programu wraz z opisem struktury organizacyjnej i procedur</w:t>
      </w:r>
      <w:r w:rsidR="00F377C0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W ciągu sześciu miesięcy od </w:t>
      </w:r>
      <w:r w:rsidR="00737DAA" w:rsidRPr="00767038">
        <w:rPr>
          <w:lang w:val="pl-PL"/>
        </w:rPr>
        <w:t xml:space="preserve">dnia </w:t>
      </w:r>
      <w:r w:rsidRPr="00767038">
        <w:rPr>
          <w:lang w:val="pl-PL"/>
        </w:rPr>
        <w:t>zatwierdzenia programu przez BMF</w:t>
      </w:r>
      <w:r w:rsidR="00737DAA" w:rsidRPr="00767038">
        <w:rPr>
          <w:lang w:val="pl-PL"/>
        </w:rPr>
        <w:t>,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przedłoży KPK szczegółowy opis systemów zarządzania i kontroli</w:t>
      </w:r>
      <w:r w:rsidR="00F377C0" w:rsidRPr="00767038">
        <w:rPr>
          <w:lang w:val="pl-PL"/>
        </w:rPr>
        <w:t xml:space="preserve"> (</w:t>
      </w:r>
      <w:r w:rsidRPr="00767038">
        <w:rPr>
          <w:lang w:val="pl-PL"/>
        </w:rPr>
        <w:t>a</w:t>
      </w:r>
      <w:r w:rsidR="00F377C0" w:rsidRPr="00767038">
        <w:rPr>
          <w:lang w:val="pl-PL"/>
        </w:rPr>
        <w:t>rt. 5.7.2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>).</w:t>
      </w:r>
    </w:p>
    <w:p w:rsidR="00420EB1" w:rsidRPr="00767038" w:rsidRDefault="00BE382F" w:rsidP="00376576">
      <w:pPr>
        <w:rPr>
          <w:lang w:val="pl-PL"/>
        </w:rPr>
      </w:pPr>
      <w:r w:rsidRPr="00767038">
        <w:rPr>
          <w:lang w:val="pl-PL"/>
        </w:rPr>
        <w:t>KPK jest zobowiązany do zatwierdzenia SZK</w:t>
      </w:r>
      <w:r w:rsidR="00737DAA" w:rsidRPr="00767038">
        <w:rPr>
          <w:lang w:val="pl-PL"/>
        </w:rPr>
        <w:t xml:space="preserve"> oraz</w:t>
      </w:r>
      <w:r w:rsidRPr="00767038">
        <w:rPr>
          <w:lang w:val="pl-PL"/>
        </w:rPr>
        <w:t xml:space="preserve"> poinformowania BMF o zatwierdzeniu SZK w ciągu trzech miesięcy od jego przedłożenia KPK</w:t>
      </w:r>
      <w:r w:rsidR="00D3037A" w:rsidRPr="00767038">
        <w:rPr>
          <w:lang w:val="pl-PL"/>
        </w:rPr>
        <w:t xml:space="preserve">. </w:t>
      </w:r>
      <w:r w:rsidRPr="00767038">
        <w:rPr>
          <w:lang w:val="pl-PL"/>
        </w:rPr>
        <w:t>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należy zawiadomić, jeżeli SZK posiada </w:t>
      </w:r>
      <w:r w:rsidR="00737DAA" w:rsidRPr="00767038">
        <w:rPr>
          <w:lang w:val="pl-PL"/>
        </w:rPr>
        <w:t xml:space="preserve">istotne </w:t>
      </w:r>
      <w:r w:rsidRPr="00767038">
        <w:rPr>
          <w:lang w:val="pl-PL"/>
        </w:rPr>
        <w:t>braki</w:t>
      </w:r>
      <w:r w:rsidR="00737DAA" w:rsidRPr="00767038">
        <w:rPr>
          <w:lang w:val="pl-PL"/>
        </w:rPr>
        <w:t>/</w:t>
      </w:r>
      <w:r w:rsidR="00A35E94" w:rsidRPr="00767038">
        <w:rPr>
          <w:lang w:val="pl-PL"/>
        </w:rPr>
        <w:t>nieścisłości</w:t>
      </w:r>
      <w:r w:rsidRPr="00767038">
        <w:rPr>
          <w:lang w:val="pl-PL"/>
        </w:rPr>
        <w:t xml:space="preserve">, których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nie jest w stanie </w:t>
      </w:r>
      <w:r w:rsidR="00737DAA" w:rsidRPr="00767038">
        <w:rPr>
          <w:lang w:val="pl-PL"/>
        </w:rPr>
        <w:t xml:space="preserve">wyeliminować </w:t>
      </w:r>
      <w:r w:rsidRPr="00767038">
        <w:rPr>
          <w:lang w:val="pl-PL"/>
        </w:rPr>
        <w:t>w rozsądnym czasie</w:t>
      </w:r>
      <w:r w:rsidR="00420EB1" w:rsidRPr="00767038">
        <w:rPr>
          <w:lang w:val="pl-PL"/>
        </w:rPr>
        <w:t xml:space="preserve">. </w:t>
      </w:r>
    </w:p>
    <w:p w:rsidR="00D3037A" w:rsidRPr="00767038" w:rsidRDefault="00420EB1" w:rsidP="00376576">
      <w:pPr>
        <w:rPr>
          <w:lang w:val="pl-PL"/>
        </w:rPr>
      </w:pPr>
      <w:r w:rsidRPr="00767038">
        <w:rPr>
          <w:lang w:val="pl-PL"/>
        </w:rPr>
        <w:t>KPK</w:t>
      </w:r>
      <w:r w:rsidR="00737DAA" w:rsidRPr="00767038">
        <w:rPr>
          <w:lang w:val="pl-PL"/>
        </w:rPr>
        <w:t>, na wniosek,</w:t>
      </w:r>
      <w:r w:rsidRPr="00767038">
        <w:rPr>
          <w:lang w:val="pl-PL"/>
        </w:rPr>
        <w:t xml:space="preserve"> prze</w:t>
      </w:r>
      <w:r w:rsidR="00737DAA" w:rsidRPr="00767038">
        <w:rPr>
          <w:lang w:val="pl-PL"/>
        </w:rPr>
        <w:t>syła do</w:t>
      </w:r>
      <w:r w:rsidRPr="00767038">
        <w:rPr>
          <w:lang w:val="pl-PL"/>
        </w:rPr>
        <w:t xml:space="preserve"> BMF </w:t>
      </w:r>
      <w:r w:rsidR="00871B68" w:rsidRPr="00767038">
        <w:rPr>
          <w:lang w:val="pl-PL"/>
        </w:rPr>
        <w:t>opis s</w:t>
      </w:r>
      <w:r w:rsidR="00737DAA" w:rsidRPr="00767038">
        <w:rPr>
          <w:lang w:val="pl-PL"/>
        </w:rPr>
        <w:t>ystem zarządzania i kontroli</w:t>
      </w:r>
      <w:r w:rsidRPr="00767038">
        <w:rPr>
          <w:lang w:val="pl-PL"/>
        </w:rPr>
        <w:t xml:space="preserve"> </w:t>
      </w:r>
      <w:r w:rsidR="00737DAA" w:rsidRPr="00767038">
        <w:rPr>
          <w:lang w:val="pl-PL"/>
        </w:rPr>
        <w:t>przygotowany przez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737DAA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737DAA" w:rsidRPr="00767038">
        <w:rPr>
          <w:lang w:val="pl-PL"/>
        </w:rPr>
        <w:t>,</w:t>
      </w:r>
      <w:r w:rsidRPr="00767038">
        <w:rPr>
          <w:lang w:val="pl-PL"/>
        </w:rPr>
        <w:t xml:space="preserve"> w języku angielskim wraz z opinią IA i </w:t>
      </w:r>
      <w:r w:rsidR="00737DAA" w:rsidRPr="00767038">
        <w:rPr>
          <w:lang w:val="pl-PL"/>
        </w:rPr>
        <w:t>R</w:t>
      </w:r>
      <w:r w:rsidRPr="00767038">
        <w:rPr>
          <w:lang w:val="pl-PL"/>
        </w:rPr>
        <w:t>aportem z audytu</w:t>
      </w:r>
      <w:r w:rsidR="00D3037A" w:rsidRPr="00767038">
        <w:rPr>
          <w:lang w:val="pl-PL"/>
        </w:rPr>
        <w:t>.</w:t>
      </w:r>
      <w:r w:rsidRPr="00767038">
        <w:rPr>
          <w:lang w:val="pl-PL"/>
        </w:rPr>
        <w:t xml:space="preserve"> Dokumenty </w:t>
      </w:r>
      <w:r w:rsidR="00871B68" w:rsidRPr="00767038">
        <w:rPr>
          <w:lang w:val="pl-PL"/>
        </w:rPr>
        <w:t>te należy prz</w:t>
      </w:r>
      <w:r w:rsidR="00737DAA" w:rsidRPr="00767038">
        <w:rPr>
          <w:lang w:val="pl-PL"/>
        </w:rPr>
        <w:t>esłać</w:t>
      </w:r>
      <w:r w:rsidRPr="00767038">
        <w:rPr>
          <w:lang w:val="pl-PL"/>
        </w:rPr>
        <w:t xml:space="preserve"> w ciągu dwóch miesięcy od daty wniosku</w:t>
      </w:r>
      <w:r w:rsidR="00D3037A" w:rsidRPr="00767038">
        <w:rPr>
          <w:lang w:val="pl-PL"/>
        </w:rPr>
        <w:t>.</w:t>
      </w:r>
      <w:r w:rsidRPr="00767038">
        <w:rPr>
          <w:lang w:val="pl-PL"/>
        </w:rPr>
        <w:t xml:space="preserve"> BMF może </w:t>
      </w:r>
      <w:r w:rsidR="00737DAA" w:rsidRPr="00767038">
        <w:rPr>
          <w:lang w:val="pl-PL"/>
        </w:rPr>
        <w:t>przedstawić</w:t>
      </w:r>
      <w:r w:rsidRPr="00767038">
        <w:rPr>
          <w:lang w:val="pl-PL"/>
        </w:rPr>
        <w:t xml:space="preserve"> uwagi (art. </w:t>
      </w:r>
      <w:r w:rsidR="00D3037A" w:rsidRPr="00767038">
        <w:rPr>
          <w:lang w:val="pl-PL"/>
        </w:rPr>
        <w:t>5.7.4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D3037A" w:rsidRPr="00767038">
        <w:rPr>
          <w:lang w:val="pl-PL"/>
        </w:rPr>
        <w:t xml:space="preserve">). </w:t>
      </w:r>
    </w:p>
    <w:p w:rsidR="00851093" w:rsidRPr="00767038" w:rsidRDefault="00420EB1" w:rsidP="00C27B08">
      <w:pPr>
        <w:pStyle w:val="Nagwek3"/>
        <w:rPr>
          <w:lang w:val="pl-PL"/>
        </w:rPr>
      </w:pPr>
      <w:r w:rsidRPr="00767038">
        <w:rPr>
          <w:lang w:val="pl-PL"/>
        </w:rPr>
        <w:t>Zarys systemów zarządzania i kontroli</w:t>
      </w:r>
    </w:p>
    <w:p w:rsidR="00851093" w:rsidRPr="00767038" w:rsidRDefault="00871B68" w:rsidP="00376576">
      <w:pPr>
        <w:rPr>
          <w:lang w:val="pl-PL"/>
        </w:rPr>
      </w:pPr>
      <w:r w:rsidRPr="00767038">
        <w:rPr>
          <w:lang w:val="pl-PL"/>
        </w:rPr>
        <w:t>Opis systemów zarządzania i kontroli</w:t>
      </w:r>
      <w:r w:rsidR="00420EB1" w:rsidRPr="00767038">
        <w:rPr>
          <w:lang w:val="pl-PL"/>
        </w:rPr>
        <w:t xml:space="preserve"> odzwierciedla posta</w:t>
      </w:r>
      <w:r w:rsidR="00384E5A" w:rsidRPr="00767038">
        <w:rPr>
          <w:lang w:val="pl-PL"/>
        </w:rPr>
        <w:t>no</w:t>
      </w:r>
      <w:r w:rsidR="00420EB1" w:rsidRPr="00767038">
        <w:rPr>
          <w:lang w:val="pl-PL"/>
        </w:rPr>
        <w:t xml:space="preserve">wienia </w:t>
      </w:r>
      <w:r w:rsidR="005A62D3" w:rsidRPr="00767038">
        <w:rPr>
          <w:lang w:val="pl-PL"/>
        </w:rPr>
        <w:t>Regulacji</w:t>
      </w:r>
      <w:r w:rsidR="00420EB1" w:rsidRPr="00767038">
        <w:rPr>
          <w:lang w:val="pl-PL"/>
        </w:rPr>
        <w:t xml:space="preserve"> i </w:t>
      </w:r>
      <w:r w:rsidRPr="00767038">
        <w:rPr>
          <w:lang w:val="pl-PL"/>
        </w:rPr>
        <w:t>Umowy w sprawie programu</w:t>
      </w:r>
      <w:r w:rsidR="00851093" w:rsidRPr="00767038">
        <w:rPr>
          <w:lang w:val="pl-PL"/>
        </w:rPr>
        <w:t>.</w:t>
      </w:r>
      <w:r w:rsidR="00420EB1" w:rsidRPr="00767038">
        <w:rPr>
          <w:lang w:val="pl-PL"/>
        </w:rPr>
        <w:t xml:space="preserve"> Opis powinien być zwięzły, ale wystarczająco szczegółowy i zawierać wszystkie istotne aspekty</w:t>
      </w:r>
      <w:r w:rsidR="00851093" w:rsidRPr="00767038">
        <w:rPr>
          <w:lang w:val="pl-PL"/>
        </w:rPr>
        <w:t>.</w:t>
      </w:r>
      <w:r w:rsidR="00420EB1" w:rsidRPr="00767038">
        <w:rPr>
          <w:lang w:val="pl-PL"/>
        </w:rPr>
        <w:t xml:space="preserve"> Ważne jest, aby opis nie wymagał wyjaśnienia</w:t>
      </w:r>
      <w:r w:rsidR="00851093" w:rsidRPr="00767038">
        <w:rPr>
          <w:lang w:val="pl-PL"/>
        </w:rPr>
        <w:t>.</w:t>
      </w:r>
      <w:r w:rsidR="00420EB1" w:rsidRPr="00767038">
        <w:rPr>
          <w:lang w:val="pl-PL"/>
        </w:rPr>
        <w:t xml:space="preserve"> Oznacza to, że wszelkie odniesienia do innych dokumentów, zasad lub </w:t>
      </w:r>
      <w:r w:rsidR="005A62D3" w:rsidRPr="00767038">
        <w:rPr>
          <w:lang w:val="pl-PL"/>
        </w:rPr>
        <w:t>Regulacji</w:t>
      </w:r>
      <w:r w:rsidR="00420EB1" w:rsidRPr="00767038">
        <w:rPr>
          <w:lang w:val="pl-PL"/>
        </w:rPr>
        <w:t xml:space="preserve"> muszą być odpowiednio wyjaśnione w SZK</w:t>
      </w:r>
      <w:r w:rsidR="001D0157" w:rsidRPr="00767038">
        <w:rPr>
          <w:lang w:val="pl-PL"/>
        </w:rPr>
        <w:t>.</w:t>
      </w:r>
    </w:p>
    <w:p w:rsidR="00A20EF6" w:rsidRPr="00767038" w:rsidRDefault="00420EB1" w:rsidP="00B033FD">
      <w:pPr>
        <w:pStyle w:val="Nagwek4"/>
        <w:rPr>
          <w:noProof/>
          <w:lang w:val="pl-PL"/>
        </w:rPr>
      </w:pPr>
      <w:r w:rsidRPr="00767038">
        <w:rPr>
          <w:noProof/>
          <w:lang w:val="pl-PL"/>
        </w:rPr>
        <w:t>SZK na poziomie krajowym</w:t>
      </w:r>
    </w:p>
    <w:p w:rsidR="00A20EF6" w:rsidRDefault="00420EB1" w:rsidP="00820B28">
      <w:pPr>
        <w:rPr>
          <w:lang w:val="pl-PL"/>
        </w:rPr>
      </w:pPr>
      <w:r w:rsidRPr="00767038">
        <w:rPr>
          <w:lang w:val="pl-PL"/>
        </w:rPr>
        <w:t xml:space="preserve">SZK opisuje co najmniej </w:t>
      </w:r>
      <w:r w:rsidR="00384E5A" w:rsidRPr="00767038">
        <w:rPr>
          <w:lang w:val="pl-PL"/>
        </w:rPr>
        <w:t>s</w:t>
      </w:r>
      <w:r w:rsidRPr="00767038">
        <w:rPr>
          <w:lang w:val="pl-PL"/>
        </w:rPr>
        <w:t>trukturę organizacyjną</w:t>
      </w:r>
      <w:r w:rsidR="00A20EF6" w:rsidRPr="00767038">
        <w:rPr>
          <w:lang w:val="pl-PL"/>
        </w:rPr>
        <w:t>,</w:t>
      </w:r>
      <w:r w:rsidRPr="00767038">
        <w:rPr>
          <w:lang w:val="pl-PL"/>
        </w:rPr>
        <w:t xml:space="preserve"> definicj</w:t>
      </w:r>
      <w:r w:rsidR="0070600B">
        <w:rPr>
          <w:lang w:val="pl-PL"/>
        </w:rPr>
        <w:t>e</w:t>
      </w:r>
      <w:r w:rsidRPr="00767038">
        <w:rPr>
          <w:lang w:val="pl-PL"/>
        </w:rPr>
        <w:t xml:space="preserve"> i przypisanie funkcji w ramach każdej </w:t>
      </w:r>
      <w:r w:rsidR="00871B68" w:rsidRPr="00767038">
        <w:rPr>
          <w:lang w:val="pl-PL"/>
        </w:rPr>
        <w:t>instytucji</w:t>
      </w:r>
      <w:r w:rsidRPr="00767038">
        <w:rPr>
          <w:lang w:val="pl-PL"/>
        </w:rPr>
        <w:t>.</w:t>
      </w:r>
      <w:r w:rsidR="002A6D3C">
        <w:rPr>
          <w:lang w:val="pl-PL"/>
        </w:rPr>
        <w:t xml:space="preserve"> </w:t>
      </w:r>
      <w:r w:rsidRPr="00767038">
        <w:rPr>
          <w:lang w:val="pl-PL"/>
        </w:rPr>
        <w:t xml:space="preserve">SZK opisuje funkcje każdej </w:t>
      </w:r>
      <w:r w:rsidR="00871B68" w:rsidRPr="00767038">
        <w:rPr>
          <w:lang w:val="pl-PL"/>
        </w:rPr>
        <w:t xml:space="preserve">instytucji </w:t>
      </w:r>
      <w:r w:rsidRPr="00767038">
        <w:rPr>
          <w:lang w:val="pl-PL"/>
        </w:rPr>
        <w:t>zgodnie z zasadą rozdziału zadań</w:t>
      </w:r>
      <w:r w:rsidR="00A20EF6" w:rsidRPr="00767038">
        <w:rPr>
          <w:lang w:val="pl-PL"/>
        </w:rPr>
        <w:t xml:space="preserve">. </w:t>
      </w:r>
      <w:r w:rsidRPr="00767038">
        <w:rPr>
          <w:lang w:val="pl-PL"/>
        </w:rPr>
        <w:t>W przypadku przekazania jakichkolwiek zadań, należy uwzględnić ten fakt w SZK</w:t>
      </w:r>
      <w:r w:rsidR="00A20EF6" w:rsidRPr="00767038">
        <w:rPr>
          <w:lang w:val="pl-PL"/>
        </w:rPr>
        <w:t>.</w:t>
      </w:r>
      <w:r w:rsidR="002A6D3C">
        <w:rPr>
          <w:lang w:val="pl-PL"/>
        </w:rPr>
        <w:t xml:space="preserve"> Ponadto, </w:t>
      </w:r>
      <w:r w:rsidR="00925DE7" w:rsidRPr="00925DE7">
        <w:rPr>
          <w:lang w:val="pl-PL"/>
        </w:rPr>
        <w:t>SZK opisuje przepływy płatności w ramach państwa, np. od IC do Operatora Programu</w:t>
      </w:r>
      <w:r w:rsidR="00925DE7">
        <w:rPr>
          <w:lang w:val="pl-PL"/>
        </w:rPr>
        <w:t>.</w:t>
      </w:r>
    </w:p>
    <w:p w:rsidR="002A6D3C" w:rsidRDefault="002A6D3C" w:rsidP="00820B28">
      <w:pPr>
        <w:rPr>
          <w:lang w:val="pl-PL"/>
        </w:rPr>
      </w:pPr>
      <w:r>
        <w:rPr>
          <w:lang w:val="pl-PL"/>
        </w:rPr>
        <w:t>Opis funkcji, w ramach jednej instytucji, odnosi się co najmniej do następujących procedur:</w:t>
      </w:r>
    </w:p>
    <w:p w:rsidR="002A6D3C" w:rsidRPr="00820B28" w:rsidRDefault="002A6D3C" w:rsidP="00820B28">
      <w:pPr>
        <w:rPr>
          <w:b/>
          <w:u w:val="single"/>
          <w:lang w:val="pl-PL"/>
        </w:rPr>
      </w:pPr>
      <w:r w:rsidRPr="00820B28">
        <w:rPr>
          <w:b/>
          <w:u w:val="single"/>
          <w:lang w:val="pl-PL"/>
        </w:rPr>
        <w:t>Krajowy Punkt Kontaktowy</w:t>
      </w:r>
    </w:p>
    <w:p w:rsidR="002A6D3C" w:rsidRDefault="002A6D3C" w:rsidP="00820B28">
      <w:pPr>
        <w:pStyle w:val="Akapitzlist"/>
        <w:spacing w:after="0"/>
        <w:ind w:left="0"/>
        <w:contextualSpacing w:val="0"/>
        <w:rPr>
          <w:lang w:val="pl-PL"/>
        </w:rPr>
      </w:pPr>
      <w:r>
        <w:rPr>
          <w:lang w:val="pl-PL"/>
        </w:rPr>
        <w:t>Opis funkcji KPK obejmuje co najmniej poniższe procedury:</w:t>
      </w:r>
    </w:p>
    <w:p w:rsidR="0091560D" w:rsidRPr="00767038" w:rsidRDefault="00E53BE3" w:rsidP="00820B28">
      <w:pPr>
        <w:pStyle w:val="Akapitzlist"/>
        <w:numPr>
          <w:ilvl w:val="0"/>
          <w:numId w:val="42"/>
        </w:numPr>
        <w:spacing w:after="0"/>
        <w:ind w:left="426" w:hanging="284"/>
        <w:contextualSpacing w:val="0"/>
        <w:rPr>
          <w:lang w:val="pl-PL"/>
        </w:rPr>
      </w:pPr>
      <w:r>
        <w:rPr>
          <w:lang w:val="pl-PL"/>
        </w:rPr>
        <w:t>m</w:t>
      </w:r>
      <w:r w:rsidR="002A6D3C">
        <w:rPr>
          <w:lang w:val="pl-PL"/>
        </w:rPr>
        <w:t xml:space="preserve">onitoring </w:t>
      </w:r>
      <w:r w:rsidR="00925DE7">
        <w:rPr>
          <w:lang w:val="pl-PL"/>
        </w:rPr>
        <w:t xml:space="preserve">postępu oraz jakości realizacji Programów (art. 5.3.3 Regulacji). </w:t>
      </w:r>
    </w:p>
    <w:p w:rsidR="00087907" w:rsidRDefault="00420EB1" w:rsidP="00925DE7">
      <w:pPr>
        <w:pStyle w:val="Akapitzlist"/>
        <w:ind w:left="426"/>
        <w:rPr>
          <w:lang w:val="pl-PL"/>
        </w:rPr>
      </w:pPr>
      <w:r w:rsidRPr="00767038">
        <w:rPr>
          <w:lang w:val="pl-PL"/>
        </w:rPr>
        <w:t xml:space="preserve">SZK opisuje, w jaki sposób programy będą monitorowane i w jaki sposób będą raportowane wyniki monitoringu. </w:t>
      </w:r>
      <w:proofErr w:type="spellStart"/>
      <w:r w:rsidR="00871B68" w:rsidRPr="00767038">
        <w:rPr>
          <w:lang w:val="pl-PL"/>
        </w:rPr>
        <w:t>Result</w:t>
      </w:r>
      <w:proofErr w:type="spellEnd"/>
      <w:r w:rsidR="00871B68" w:rsidRPr="00767038">
        <w:rPr>
          <w:lang w:val="pl-PL"/>
        </w:rPr>
        <w:t xml:space="preserve"> </w:t>
      </w:r>
      <w:proofErr w:type="spellStart"/>
      <w:r w:rsidR="00871B68" w:rsidRPr="00767038">
        <w:rPr>
          <w:lang w:val="pl-PL"/>
        </w:rPr>
        <w:t>Guideline</w:t>
      </w:r>
      <w:proofErr w:type="spellEnd"/>
      <w:r w:rsidRPr="00767038">
        <w:rPr>
          <w:lang w:val="pl-PL"/>
        </w:rPr>
        <w:t xml:space="preserve"> zawierają dalsze informacje na temat monitorowania;</w:t>
      </w:r>
    </w:p>
    <w:p w:rsidR="00925DE7" w:rsidRDefault="00E53BE3" w:rsidP="00820B28">
      <w:pPr>
        <w:pStyle w:val="Akapitzlist"/>
        <w:numPr>
          <w:ilvl w:val="0"/>
          <w:numId w:val="42"/>
        </w:numPr>
        <w:ind w:left="426" w:hanging="284"/>
        <w:rPr>
          <w:lang w:val="pl-PL"/>
        </w:rPr>
      </w:pPr>
      <w:r>
        <w:rPr>
          <w:lang w:val="pl-PL"/>
        </w:rPr>
        <w:t>r</w:t>
      </w:r>
      <w:r w:rsidR="00925DE7" w:rsidRPr="005E3EF7">
        <w:rPr>
          <w:lang w:val="pl-PL"/>
        </w:rPr>
        <w:t xml:space="preserve">egularny monitoring Programów w odniesieniu do </w:t>
      </w:r>
      <w:r w:rsidR="005E3EF7" w:rsidRPr="005E3EF7">
        <w:rPr>
          <w:lang w:val="pl-PL"/>
        </w:rPr>
        <w:t xml:space="preserve">postępów w osiąganiu </w:t>
      </w:r>
      <w:r w:rsidR="005E3EF7" w:rsidRPr="00712D2B">
        <w:rPr>
          <w:lang w:val="pl-PL"/>
        </w:rPr>
        <w:t>produktów, rezultatu/rezultatów i celu/celów programu (art. 5.3.4 Regulacji oraz z perspektywy rezultatów</w:t>
      </w:r>
      <w:r w:rsidR="005E3EF7" w:rsidRPr="00B67B22">
        <w:rPr>
          <w:lang w:val="pl-PL"/>
        </w:rPr>
        <w:t>, ryzyka i zgodności (</w:t>
      </w:r>
      <w:proofErr w:type="spellStart"/>
      <w:r w:rsidR="005E3EF7" w:rsidRPr="00B67B22">
        <w:rPr>
          <w:lang w:val="pl-PL"/>
        </w:rPr>
        <w:t>Result</w:t>
      </w:r>
      <w:proofErr w:type="spellEnd"/>
      <w:r w:rsidR="005E3EF7" w:rsidRPr="00B67B22">
        <w:rPr>
          <w:lang w:val="pl-PL"/>
        </w:rPr>
        <w:t xml:space="preserve"> </w:t>
      </w:r>
      <w:proofErr w:type="spellStart"/>
      <w:r w:rsidR="005E3EF7" w:rsidRPr="00B67B22">
        <w:rPr>
          <w:lang w:val="pl-PL"/>
        </w:rPr>
        <w:t>Guideline</w:t>
      </w:r>
      <w:proofErr w:type="spellEnd"/>
      <w:r w:rsidR="005E3EF7" w:rsidRPr="00B67B22">
        <w:rPr>
          <w:lang w:val="pl-PL"/>
        </w:rPr>
        <w:t xml:space="preserve"> str. 35). </w:t>
      </w:r>
    </w:p>
    <w:p w:rsidR="005E3EF7" w:rsidRDefault="00E53BE3" w:rsidP="00820B28">
      <w:pPr>
        <w:pStyle w:val="Akapitzlist"/>
        <w:numPr>
          <w:ilvl w:val="0"/>
          <w:numId w:val="42"/>
        </w:numPr>
        <w:ind w:left="426" w:hanging="284"/>
        <w:rPr>
          <w:lang w:val="pl-PL"/>
        </w:rPr>
      </w:pPr>
      <w:r>
        <w:rPr>
          <w:lang w:val="pl-PL"/>
        </w:rPr>
        <w:t>o</w:t>
      </w:r>
      <w:r w:rsidR="005E3EF7">
        <w:rPr>
          <w:lang w:val="pl-PL"/>
        </w:rPr>
        <w:t xml:space="preserve">cena </w:t>
      </w:r>
      <w:proofErr w:type="spellStart"/>
      <w:r w:rsidR="005E3EF7">
        <w:rPr>
          <w:lang w:val="pl-PL"/>
        </w:rPr>
        <w:t>ryzyk</w:t>
      </w:r>
      <w:proofErr w:type="spellEnd"/>
      <w:r w:rsidR="005E3EF7">
        <w:rPr>
          <w:lang w:val="pl-PL"/>
        </w:rPr>
        <w:t xml:space="preserve"> realizacji Programów (art. 5.3.3 Regulacji);</w:t>
      </w:r>
    </w:p>
    <w:p w:rsidR="005E3EF7" w:rsidRDefault="00E53BE3" w:rsidP="00820B28">
      <w:pPr>
        <w:pStyle w:val="Akapitzlist"/>
        <w:numPr>
          <w:ilvl w:val="0"/>
          <w:numId w:val="42"/>
        </w:numPr>
        <w:ind w:left="426" w:hanging="284"/>
        <w:rPr>
          <w:lang w:val="pl-PL"/>
        </w:rPr>
      </w:pPr>
      <w:r>
        <w:rPr>
          <w:lang w:val="pl-PL"/>
        </w:rPr>
        <w:t>r</w:t>
      </w:r>
      <w:r w:rsidR="005E3EF7">
        <w:rPr>
          <w:lang w:val="pl-PL"/>
        </w:rPr>
        <w:t xml:space="preserve">ola </w:t>
      </w:r>
      <w:r w:rsidR="00712D2B">
        <w:rPr>
          <w:lang w:val="pl-PL"/>
        </w:rPr>
        <w:t>Wspólnego</w:t>
      </w:r>
      <w:r w:rsidR="00712D2B" w:rsidRPr="00712D2B">
        <w:rPr>
          <w:lang w:val="pl-PL"/>
        </w:rPr>
        <w:t xml:space="preserve"> Komitet</w:t>
      </w:r>
      <w:r w:rsidR="00712D2B">
        <w:rPr>
          <w:lang w:val="pl-PL"/>
        </w:rPr>
        <w:t>u</w:t>
      </w:r>
      <w:r w:rsidR="00712D2B" w:rsidRPr="00712D2B">
        <w:rPr>
          <w:lang w:val="pl-PL"/>
        </w:rPr>
        <w:t xml:space="preserve"> ds. Funduszu Współpracy Dwustronnej </w:t>
      </w:r>
      <w:r w:rsidR="005E3EF7">
        <w:rPr>
          <w:lang w:val="pl-PL"/>
        </w:rPr>
        <w:t xml:space="preserve">oraz KPK </w:t>
      </w:r>
      <w:r w:rsidR="00712D2B">
        <w:rPr>
          <w:lang w:val="pl-PL"/>
        </w:rPr>
        <w:t>w zakresie FWD;</w:t>
      </w:r>
    </w:p>
    <w:p w:rsidR="00712D2B" w:rsidRDefault="00E53BE3" w:rsidP="00820B28">
      <w:pPr>
        <w:pStyle w:val="Akapitzlist"/>
        <w:numPr>
          <w:ilvl w:val="0"/>
          <w:numId w:val="42"/>
        </w:numPr>
        <w:ind w:left="426" w:hanging="284"/>
        <w:rPr>
          <w:lang w:val="pl-PL"/>
        </w:rPr>
      </w:pPr>
      <w:r>
        <w:rPr>
          <w:lang w:val="pl-PL"/>
        </w:rPr>
        <w:lastRenderedPageBreak/>
        <w:t>p</w:t>
      </w:r>
      <w:r w:rsidR="00712D2B">
        <w:rPr>
          <w:lang w:val="pl-PL"/>
        </w:rPr>
        <w:t>rocedury dotyczące płatności i raportowania między KPK a OP w zakresie FWD;</w:t>
      </w:r>
    </w:p>
    <w:p w:rsidR="00712D2B" w:rsidRDefault="00E53BE3" w:rsidP="00820B28">
      <w:pPr>
        <w:pStyle w:val="Akapitzlist"/>
        <w:numPr>
          <w:ilvl w:val="0"/>
          <w:numId w:val="42"/>
        </w:numPr>
        <w:ind w:left="426" w:hanging="284"/>
        <w:rPr>
          <w:lang w:val="pl-PL"/>
        </w:rPr>
      </w:pPr>
      <w:r>
        <w:rPr>
          <w:lang w:val="pl-PL"/>
        </w:rPr>
        <w:t>o</w:t>
      </w:r>
      <w:r w:rsidR="00712D2B" w:rsidRPr="00712D2B">
        <w:rPr>
          <w:lang w:val="pl-PL"/>
        </w:rPr>
        <w:t xml:space="preserve">rganizacja </w:t>
      </w:r>
      <w:r w:rsidR="00712D2B">
        <w:rPr>
          <w:lang w:val="pl-PL"/>
        </w:rPr>
        <w:t>oraz</w:t>
      </w:r>
      <w:r w:rsidR="00712D2B" w:rsidRPr="00767038">
        <w:rPr>
          <w:lang w:val="pl-PL"/>
        </w:rPr>
        <w:t xml:space="preserve"> procedury Funduszu Współpracy Dwustronnej. Opis zawiera szczegółowe procedury zarządzania finansami Funduszu Współpracy Dwustronnej, w tym przepływy płatności, procesy weryfikacji i poświadczania</w:t>
      </w:r>
      <w:r w:rsidR="00712D2B">
        <w:rPr>
          <w:lang w:val="pl-PL"/>
        </w:rPr>
        <w:t>;</w:t>
      </w:r>
    </w:p>
    <w:p w:rsidR="00712D2B" w:rsidRDefault="00E53BE3" w:rsidP="00820B28">
      <w:pPr>
        <w:pStyle w:val="Akapitzlist"/>
        <w:numPr>
          <w:ilvl w:val="0"/>
          <w:numId w:val="42"/>
        </w:numPr>
        <w:ind w:left="426" w:hanging="284"/>
        <w:rPr>
          <w:lang w:val="pl-PL"/>
        </w:rPr>
      </w:pPr>
      <w:r>
        <w:rPr>
          <w:lang w:val="pl-PL"/>
        </w:rPr>
        <w:t>s</w:t>
      </w:r>
      <w:r w:rsidR="00712D2B">
        <w:rPr>
          <w:lang w:val="pl-PL"/>
        </w:rPr>
        <w:t>tosowny rozdział funkcji związanych z weryfikacją oraz certyfikacja wydatków w ramach FWD.</w:t>
      </w:r>
    </w:p>
    <w:p w:rsidR="00A24DE6" w:rsidRDefault="00A24DE6" w:rsidP="00820B28">
      <w:pPr>
        <w:rPr>
          <w:lang w:val="pl-PL"/>
        </w:rPr>
      </w:pPr>
    </w:p>
    <w:p w:rsidR="00A24DE6" w:rsidRDefault="00A24DE6" w:rsidP="00820B28">
      <w:pPr>
        <w:rPr>
          <w:b/>
          <w:u w:val="single"/>
          <w:lang w:val="pl-PL"/>
        </w:rPr>
      </w:pPr>
      <w:r w:rsidRPr="00820B28">
        <w:rPr>
          <w:b/>
          <w:u w:val="single"/>
          <w:lang w:val="pl-PL"/>
        </w:rPr>
        <w:t xml:space="preserve">Instytucja Certyfikująca </w:t>
      </w:r>
    </w:p>
    <w:p w:rsidR="00A24DE6" w:rsidRDefault="00A24DE6" w:rsidP="00820B28">
      <w:pPr>
        <w:rPr>
          <w:lang w:val="pl-PL"/>
        </w:rPr>
      </w:pPr>
      <w:r w:rsidRPr="00820B28">
        <w:rPr>
          <w:lang w:val="pl-PL"/>
        </w:rPr>
        <w:t xml:space="preserve">Opis funkcji IC </w:t>
      </w:r>
      <w:r w:rsidRPr="00A24DE6">
        <w:rPr>
          <w:lang w:val="pl-PL"/>
        </w:rPr>
        <w:t>obejmuje co najmniej poniższe procedury</w:t>
      </w:r>
      <w:r w:rsidR="005D39CB">
        <w:rPr>
          <w:lang w:val="pl-PL"/>
        </w:rPr>
        <w:t xml:space="preserve"> dotyczące</w:t>
      </w:r>
      <w:r w:rsidRPr="00A24DE6">
        <w:rPr>
          <w:lang w:val="pl-PL"/>
        </w:rPr>
        <w:t>:</w:t>
      </w:r>
    </w:p>
    <w:p w:rsidR="00A24DE6" w:rsidRPr="00A24DE6" w:rsidRDefault="00E53BE3" w:rsidP="00820B28">
      <w:pPr>
        <w:pStyle w:val="Akapitzlist"/>
        <w:numPr>
          <w:ilvl w:val="0"/>
          <w:numId w:val="43"/>
        </w:numPr>
        <w:ind w:left="426" w:hanging="284"/>
        <w:rPr>
          <w:lang w:val="pl-PL"/>
        </w:rPr>
      </w:pPr>
      <w:r>
        <w:rPr>
          <w:lang w:val="pl-PL"/>
        </w:rPr>
        <w:t>s</w:t>
      </w:r>
      <w:r w:rsidR="005D39CB">
        <w:rPr>
          <w:lang w:val="pl-PL"/>
        </w:rPr>
        <w:t>kładania</w:t>
      </w:r>
      <w:r w:rsidR="00B67B22">
        <w:rPr>
          <w:lang w:val="pl-PL"/>
        </w:rPr>
        <w:t xml:space="preserve"> Okresowych i Końcowych Raportów Finansowych (art. 5.4.1.a Regulacji). SZK opisuje procedury i kontrole prowadzone przez IC w celu zweryfikowania wydatków zgłoszonych przez Operatora Programu oraz KPK w odniesieniu do wydatków poniesionych przez KPK w ramach FWD oraz Pomocy Technicznej (patrz przykład w tabeli poniżej). Procedury powinny zapewniać, że zgłoszone wydatki są poprawne i bieżące. Dalsze informacje na tematy weryfikacji prowadzonej prze IC </w:t>
      </w:r>
      <w:r w:rsidR="001D500E">
        <w:rPr>
          <w:lang w:val="pl-PL"/>
        </w:rPr>
        <w:t>zawiera sekcja 3.2;</w:t>
      </w:r>
    </w:p>
    <w:p w:rsidR="00A20EF6" w:rsidRPr="00767038" w:rsidRDefault="00A20EF6" w:rsidP="00712D2B">
      <w:pPr>
        <w:pStyle w:val="Akapitzlist"/>
        <w:ind w:left="0"/>
        <w:rPr>
          <w:lang w:val="pl-PL"/>
        </w:rPr>
      </w:pPr>
    </w:p>
    <w:p w:rsidR="00741F30" w:rsidRPr="00767038" w:rsidRDefault="00741F30" w:rsidP="00376576">
      <w:pPr>
        <w:pStyle w:val="Akapitzlist"/>
        <w:ind w:left="1080"/>
        <w:rPr>
          <w:lang w:val="pl-PL"/>
        </w:rPr>
      </w:pPr>
    </w:p>
    <w:p w:rsidR="00741F30" w:rsidRPr="00767038" w:rsidRDefault="00FA09F4" w:rsidP="00A0039A">
      <w:pPr>
        <w:pStyle w:val="Legenda"/>
        <w:keepNext/>
        <w:rPr>
          <w:b/>
          <w:szCs w:val="20"/>
          <w:lang w:val="pl-PL"/>
        </w:rPr>
      </w:pPr>
      <w:r w:rsidRPr="00767038">
        <w:rPr>
          <w:rFonts w:eastAsiaTheme="minorHAnsi" w:cstheme="minorBidi"/>
          <w:b/>
          <w:bCs/>
          <w:i w:val="0"/>
          <w:color w:val="auto"/>
          <w:szCs w:val="20"/>
          <w:lang w:val="pl-PL"/>
        </w:rPr>
        <w:t xml:space="preserve">Przykład weryfikacji wydatków w ramach Funduszu </w:t>
      </w:r>
      <w:r w:rsidR="00CF7749" w:rsidRPr="00767038">
        <w:rPr>
          <w:rFonts w:eastAsiaTheme="minorHAnsi" w:cstheme="minorBidi"/>
          <w:b/>
          <w:bCs/>
          <w:i w:val="0"/>
          <w:color w:val="auto"/>
          <w:szCs w:val="20"/>
          <w:lang w:val="pl-PL"/>
        </w:rPr>
        <w:t>Współpracy</w:t>
      </w:r>
      <w:r w:rsidRPr="00767038">
        <w:rPr>
          <w:rFonts w:eastAsiaTheme="minorHAnsi" w:cstheme="minorBidi"/>
          <w:b/>
          <w:bCs/>
          <w:i w:val="0"/>
          <w:color w:val="auto"/>
          <w:szCs w:val="20"/>
          <w:lang w:val="pl-PL"/>
        </w:rPr>
        <w:t xml:space="preserve"> </w:t>
      </w:r>
      <w:r w:rsidR="00CF7749" w:rsidRPr="00767038">
        <w:rPr>
          <w:rFonts w:eastAsiaTheme="minorHAnsi" w:cstheme="minorBidi"/>
          <w:b/>
          <w:bCs/>
          <w:i w:val="0"/>
          <w:color w:val="auto"/>
          <w:szCs w:val="20"/>
          <w:lang w:val="pl-PL"/>
        </w:rPr>
        <w:t>Dwustronnej</w:t>
      </w:r>
    </w:p>
    <w:tbl>
      <w:tblPr>
        <w:tblStyle w:val="TableGrid3"/>
        <w:tblpPr w:leftFromText="181" w:rightFromText="181" w:vertAnchor="text" w:tblpXSpec="center" w:tblpY="1"/>
        <w:tblOverlap w:val="never"/>
        <w:tblW w:w="9080" w:type="dxa"/>
        <w:tblLook w:val="04A0" w:firstRow="1" w:lastRow="0" w:firstColumn="1" w:lastColumn="0" w:noHBand="0" w:noVBand="1"/>
      </w:tblPr>
      <w:tblGrid>
        <w:gridCol w:w="1528"/>
        <w:gridCol w:w="2636"/>
        <w:gridCol w:w="2137"/>
        <w:gridCol w:w="2779"/>
      </w:tblGrid>
      <w:tr w:rsidR="00FA09F4" w:rsidRPr="007F2584" w:rsidTr="00A0039A">
        <w:trPr>
          <w:trHeight w:val="40"/>
        </w:trPr>
        <w:tc>
          <w:tcPr>
            <w:tcW w:w="1529" w:type="dxa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767038">
              <w:rPr>
                <w:b/>
                <w:bCs/>
                <w:sz w:val="18"/>
                <w:szCs w:val="18"/>
                <w:lang w:val="pl-PL"/>
              </w:rPr>
              <w:t xml:space="preserve">Fundusz </w:t>
            </w:r>
            <w:r w:rsidR="00CF7749" w:rsidRPr="00767038">
              <w:rPr>
                <w:b/>
                <w:bCs/>
                <w:sz w:val="18"/>
                <w:szCs w:val="18"/>
                <w:lang w:val="pl-PL"/>
              </w:rPr>
              <w:t>Współpracy</w:t>
            </w:r>
            <w:r w:rsidRPr="0076703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CF7749" w:rsidRPr="00767038">
              <w:rPr>
                <w:b/>
                <w:bCs/>
                <w:sz w:val="18"/>
                <w:szCs w:val="18"/>
                <w:lang w:val="pl-PL"/>
              </w:rPr>
              <w:t>Dwustronnej</w:t>
            </w:r>
          </w:p>
        </w:tc>
        <w:tc>
          <w:tcPr>
            <w:tcW w:w="2870" w:type="dxa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767038">
              <w:rPr>
                <w:b/>
                <w:bCs/>
                <w:sz w:val="18"/>
                <w:szCs w:val="18"/>
                <w:lang w:val="pl-PL"/>
              </w:rPr>
              <w:t>Rodzaj poniesionych wydatków</w:t>
            </w:r>
          </w:p>
        </w:tc>
        <w:tc>
          <w:tcPr>
            <w:tcW w:w="2264" w:type="dxa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767038">
              <w:rPr>
                <w:b/>
                <w:bCs/>
                <w:sz w:val="18"/>
                <w:szCs w:val="18"/>
                <w:lang w:val="pl-PL"/>
              </w:rPr>
              <w:t>Weryfikacja poniesionych wydatków przez</w:t>
            </w:r>
          </w:p>
        </w:tc>
        <w:tc>
          <w:tcPr>
            <w:tcW w:w="2417" w:type="dxa"/>
            <w:vAlign w:val="center"/>
          </w:tcPr>
          <w:p w:rsidR="00741F30" w:rsidRPr="00767038" w:rsidRDefault="00FA09F4" w:rsidP="00FA09F4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767038">
              <w:rPr>
                <w:b/>
                <w:bCs/>
                <w:sz w:val="18"/>
                <w:szCs w:val="18"/>
                <w:lang w:val="pl-PL"/>
              </w:rPr>
              <w:t xml:space="preserve">Weryfikacja płatności na rzecz </w:t>
            </w:r>
            <w:r w:rsidR="00315981" w:rsidRPr="00767038">
              <w:rPr>
                <w:b/>
                <w:bCs/>
                <w:sz w:val="18"/>
                <w:szCs w:val="18"/>
                <w:lang w:val="pl-PL"/>
              </w:rPr>
              <w:t>Operator</w:t>
            </w:r>
            <w:r w:rsidR="00211D94">
              <w:rPr>
                <w:b/>
                <w:bCs/>
                <w:sz w:val="18"/>
                <w:szCs w:val="18"/>
                <w:lang w:val="pl-PL"/>
              </w:rPr>
              <w:t xml:space="preserve">a </w:t>
            </w:r>
            <w:r w:rsidR="00315981" w:rsidRPr="00767038">
              <w:rPr>
                <w:b/>
                <w:bCs/>
                <w:sz w:val="18"/>
                <w:szCs w:val="18"/>
                <w:lang w:val="pl-PL"/>
              </w:rPr>
              <w:t>Programu</w:t>
            </w:r>
            <w:r w:rsidRPr="00767038">
              <w:rPr>
                <w:b/>
                <w:bCs/>
                <w:sz w:val="18"/>
                <w:szCs w:val="18"/>
                <w:lang w:val="pl-PL"/>
              </w:rPr>
              <w:t>/beneficjentów F</w:t>
            </w:r>
            <w:r w:rsidR="00871B68" w:rsidRPr="00767038">
              <w:rPr>
                <w:b/>
                <w:bCs/>
                <w:sz w:val="18"/>
                <w:szCs w:val="18"/>
                <w:lang w:val="pl-PL"/>
              </w:rPr>
              <w:t>W</w:t>
            </w:r>
            <w:r w:rsidRPr="00767038">
              <w:rPr>
                <w:b/>
                <w:bCs/>
                <w:sz w:val="18"/>
                <w:szCs w:val="18"/>
                <w:lang w:val="pl-PL"/>
              </w:rPr>
              <w:t>D przez</w:t>
            </w:r>
          </w:p>
        </w:tc>
      </w:tr>
      <w:tr w:rsidR="00FA09F4" w:rsidRPr="00767038" w:rsidTr="00A0039A">
        <w:trPr>
          <w:trHeight w:val="664"/>
        </w:trPr>
        <w:tc>
          <w:tcPr>
            <w:tcW w:w="1529" w:type="dxa"/>
            <w:vMerge w:val="restart"/>
            <w:vAlign w:val="center"/>
          </w:tcPr>
          <w:p w:rsidR="00741F30" w:rsidRPr="00767038" w:rsidRDefault="00FA09F4" w:rsidP="00F655CE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Zarządzany przez KPK</w:t>
            </w:r>
          </w:p>
        </w:tc>
        <w:tc>
          <w:tcPr>
            <w:tcW w:w="2870" w:type="dxa"/>
            <w:vAlign w:val="center"/>
          </w:tcPr>
          <w:p w:rsidR="00741F30" w:rsidRPr="00767038" w:rsidRDefault="008D7A73" w:rsidP="008D7A73">
            <w:pPr>
              <w:spacing w:before="0" w:after="0"/>
              <w:jc w:val="left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Ponoszone</w:t>
            </w:r>
            <w:r w:rsidR="00871B68" w:rsidRPr="00767038">
              <w:rPr>
                <w:sz w:val="18"/>
                <w:szCs w:val="18"/>
                <w:lang w:val="pl-PL"/>
              </w:rPr>
              <w:t xml:space="preserve"> </w:t>
            </w:r>
            <w:r w:rsidRPr="00767038">
              <w:rPr>
                <w:sz w:val="18"/>
                <w:szCs w:val="18"/>
                <w:u w:val="single"/>
                <w:lang w:val="pl-PL"/>
              </w:rPr>
              <w:t xml:space="preserve">bezpośrednio przez </w:t>
            </w:r>
            <w:r w:rsidR="00A35E94" w:rsidRPr="00767038">
              <w:rPr>
                <w:sz w:val="18"/>
                <w:szCs w:val="18"/>
                <w:u w:val="single"/>
                <w:lang w:val="pl-PL"/>
              </w:rPr>
              <w:t>KPK, jako</w:t>
            </w:r>
            <w:r w:rsidRPr="00767038">
              <w:rPr>
                <w:sz w:val="18"/>
                <w:szCs w:val="18"/>
                <w:lang w:val="pl-PL"/>
              </w:rPr>
              <w:t xml:space="preserve"> beneficjenta</w:t>
            </w:r>
          </w:p>
        </w:tc>
        <w:tc>
          <w:tcPr>
            <w:tcW w:w="2264" w:type="dxa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IC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7" w:type="dxa"/>
            <w:vAlign w:val="center"/>
          </w:tcPr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A09F4" w:rsidRPr="00767038" w:rsidTr="00A0039A">
        <w:trPr>
          <w:trHeight w:val="784"/>
        </w:trPr>
        <w:tc>
          <w:tcPr>
            <w:tcW w:w="1529" w:type="dxa"/>
            <w:vMerge/>
            <w:vAlign w:val="center"/>
          </w:tcPr>
          <w:p w:rsidR="00741F30" w:rsidRPr="00767038" w:rsidRDefault="00741F30" w:rsidP="001A4A3B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870" w:type="dxa"/>
            <w:vAlign w:val="center"/>
          </w:tcPr>
          <w:p w:rsidR="00741F30" w:rsidRPr="00767038" w:rsidRDefault="008D7A73" w:rsidP="008D7A73">
            <w:pPr>
              <w:spacing w:before="0" w:after="0"/>
              <w:jc w:val="left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 xml:space="preserve">Ponoszone przez </w:t>
            </w:r>
            <w:r w:rsidRPr="00767038">
              <w:rPr>
                <w:sz w:val="18"/>
                <w:szCs w:val="18"/>
                <w:u w:val="single"/>
                <w:lang w:val="pl-PL"/>
              </w:rPr>
              <w:t>beneficjentów F</w:t>
            </w:r>
            <w:r w:rsidR="00871B68" w:rsidRPr="00767038">
              <w:rPr>
                <w:sz w:val="18"/>
                <w:szCs w:val="18"/>
                <w:u w:val="single"/>
                <w:lang w:val="pl-PL"/>
              </w:rPr>
              <w:t>W</w:t>
            </w:r>
            <w:r w:rsidRPr="00767038">
              <w:rPr>
                <w:sz w:val="18"/>
                <w:szCs w:val="18"/>
                <w:u w:val="single"/>
                <w:lang w:val="pl-PL"/>
              </w:rPr>
              <w:t>D</w:t>
            </w:r>
          </w:p>
        </w:tc>
        <w:tc>
          <w:tcPr>
            <w:tcW w:w="2264" w:type="dxa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KPK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7" w:type="dxa"/>
            <w:vAlign w:val="center"/>
          </w:tcPr>
          <w:p w:rsidR="00FA09F4" w:rsidRPr="00767038" w:rsidRDefault="00FA09F4" w:rsidP="00FA09F4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IC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A09F4" w:rsidRPr="00767038" w:rsidTr="00A0039A">
        <w:trPr>
          <w:trHeight w:val="904"/>
        </w:trPr>
        <w:tc>
          <w:tcPr>
            <w:tcW w:w="1529" w:type="dxa"/>
            <w:vMerge w:val="restart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 xml:space="preserve">Zarządzany przez </w:t>
            </w:r>
            <w:r w:rsidR="00315981" w:rsidRPr="00767038">
              <w:rPr>
                <w:sz w:val="18"/>
                <w:szCs w:val="18"/>
                <w:lang w:val="pl-PL"/>
              </w:rPr>
              <w:t>Operator</w:t>
            </w:r>
            <w:r w:rsidR="00871B68" w:rsidRPr="00767038">
              <w:rPr>
                <w:sz w:val="18"/>
                <w:szCs w:val="18"/>
                <w:lang w:val="pl-PL"/>
              </w:rPr>
              <w:t>a</w:t>
            </w:r>
            <w:r w:rsidR="00315981" w:rsidRPr="00767038">
              <w:rPr>
                <w:sz w:val="18"/>
                <w:szCs w:val="18"/>
                <w:lang w:val="pl-PL"/>
              </w:rPr>
              <w:t xml:space="preserve"> Programu</w:t>
            </w:r>
          </w:p>
        </w:tc>
        <w:tc>
          <w:tcPr>
            <w:tcW w:w="2870" w:type="dxa"/>
            <w:vAlign w:val="center"/>
          </w:tcPr>
          <w:p w:rsidR="00741F30" w:rsidRPr="00767038" w:rsidRDefault="008D7A73" w:rsidP="00871B68">
            <w:pPr>
              <w:spacing w:before="0" w:after="0"/>
              <w:jc w:val="left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Ponoszone</w:t>
            </w:r>
            <w:r w:rsidR="00871B68" w:rsidRPr="00767038">
              <w:rPr>
                <w:sz w:val="18"/>
                <w:szCs w:val="18"/>
                <w:lang w:val="pl-PL"/>
              </w:rPr>
              <w:t xml:space="preserve"> </w:t>
            </w:r>
            <w:r w:rsidRPr="00767038">
              <w:rPr>
                <w:sz w:val="18"/>
                <w:szCs w:val="18"/>
                <w:u w:val="single"/>
                <w:lang w:val="pl-PL"/>
              </w:rPr>
              <w:t xml:space="preserve">bezpośrednio przez </w:t>
            </w:r>
            <w:r w:rsidR="00315981" w:rsidRPr="00767038">
              <w:rPr>
                <w:sz w:val="18"/>
                <w:szCs w:val="18"/>
                <w:u w:val="single"/>
                <w:lang w:val="pl-PL"/>
              </w:rPr>
              <w:t>Operator</w:t>
            </w:r>
            <w:r w:rsidR="00871B68" w:rsidRPr="00767038">
              <w:rPr>
                <w:sz w:val="18"/>
                <w:szCs w:val="18"/>
                <w:u w:val="single"/>
                <w:lang w:val="pl-PL"/>
              </w:rPr>
              <w:t>ów</w:t>
            </w:r>
            <w:r w:rsidR="00315981" w:rsidRPr="00767038">
              <w:rPr>
                <w:sz w:val="18"/>
                <w:szCs w:val="18"/>
                <w:u w:val="single"/>
                <w:lang w:val="pl-PL"/>
              </w:rPr>
              <w:t xml:space="preserve"> </w:t>
            </w:r>
            <w:r w:rsidR="00A35E94" w:rsidRPr="00767038">
              <w:rPr>
                <w:sz w:val="18"/>
                <w:szCs w:val="18"/>
                <w:u w:val="single"/>
                <w:lang w:val="pl-PL"/>
              </w:rPr>
              <w:t>Programów</w:t>
            </w:r>
            <w:r w:rsidR="00A35E94" w:rsidRPr="00767038">
              <w:rPr>
                <w:sz w:val="18"/>
                <w:szCs w:val="18"/>
                <w:lang w:val="pl-PL"/>
              </w:rPr>
              <w:t>, jako</w:t>
            </w:r>
            <w:r w:rsidRPr="00767038">
              <w:rPr>
                <w:sz w:val="18"/>
                <w:szCs w:val="18"/>
                <w:lang w:val="pl-PL"/>
              </w:rPr>
              <w:t xml:space="preserve"> beneficjentów</w:t>
            </w:r>
          </w:p>
        </w:tc>
        <w:tc>
          <w:tcPr>
            <w:tcW w:w="2264" w:type="dxa"/>
            <w:vAlign w:val="center"/>
          </w:tcPr>
          <w:p w:rsidR="00741F30" w:rsidRPr="00767038" w:rsidRDefault="00FA09F4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KPK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7" w:type="dxa"/>
            <w:vAlign w:val="center"/>
          </w:tcPr>
          <w:p w:rsidR="00FA09F4" w:rsidRPr="00767038" w:rsidRDefault="00FA09F4" w:rsidP="00FA09F4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IC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A09F4" w:rsidRPr="007F2584" w:rsidTr="00A0039A">
        <w:trPr>
          <w:trHeight w:val="700"/>
        </w:trPr>
        <w:tc>
          <w:tcPr>
            <w:tcW w:w="1529" w:type="dxa"/>
            <w:vMerge/>
          </w:tcPr>
          <w:p w:rsidR="00741F30" w:rsidRPr="00767038" w:rsidRDefault="00741F30" w:rsidP="001A4A3B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870" w:type="dxa"/>
            <w:vAlign w:val="center"/>
          </w:tcPr>
          <w:p w:rsidR="00741F30" w:rsidRPr="00767038" w:rsidRDefault="008D7A73" w:rsidP="00A0039A">
            <w:pPr>
              <w:spacing w:before="0" w:after="0"/>
              <w:jc w:val="left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 xml:space="preserve">Ponoszone przez </w:t>
            </w:r>
            <w:r w:rsidRPr="00767038">
              <w:rPr>
                <w:sz w:val="18"/>
                <w:szCs w:val="18"/>
                <w:u w:val="single"/>
                <w:lang w:val="pl-PL"/>
              </w:rPr>
              <w:t>beneficjentów F</w:t>
            </w:r>
            <w:r w:rsidR="00871B68" w:rsidRPr="00767038">
              <w:rPr>
                <w:sz w:val="18"/>
                <w:szCs w:val="18"/>
                <w:u w:val="single"/>
                <w:lang w:val="pl-PL"/>
              </w:rPr>
              <w:t>W</w:t>
            </w:r>
            <w:r w:rsidRPr="00767038">
              <w:rPr>
                <w:sz w:val="18"/>
                <w:szCs w:val="18"/>
                <w:u w:val="single"/>
                <w:lang w:val="pl-PL"/>
              </w:rPr>
              <w:t>D</w:t>
            </w:r>
          </w:p>
        </w:tc>
        <w:tc>
          <w:tcPr>
            <w:tcW w:w="2264" w:type="dxa"/>
            <w:vAlign w:val="center"/>
          </w:tcPr>
          <w:p w:rsidR="00741F30" w:rsidRPr="00767038" w:rsidRDefault="00315981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Operator Programu</w:t>
            </w:r>
          </w:p>
        </w:tc>
        <w:tc>
          <w:tcPr>
            <w:tcW w:w="2417" w:type="dxa"/>
            <w:vAlign w:val="center"/>
          </w:tcPr>
          <w:p w:rsidR="00741F30" w:rsidRPr="00767038" w:rsidRDefault="00FA09F4" w:rsidP="00FA09F4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>IC na poziomie KPK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  <w:p w:rsidR="00741F30" w:rsidRPr="00767038" w:rsidRDefault="00FA09F4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  <w:r w:rsidRPr="00767038">
              <w:rPr>
                <w:sz w:val="18"/>
                <w:szCs w:val="18"/>
                <w:lang w:val="pl-PL"/>
              </w:rPr>
              <w:t xml:space="preserve">KPK na poziomie </w:t>
            </w:r>
            <w:r w:rsidR="00315981" w:rsidRPr="00767038">
              <w:rPr>
                <w:sz w:val="18"/>
                <w:szCs w:val="18"/>
                <w:lang w:val="pl-PL"/>
              </w:rPr>
              <w:t>Operator</w:t>
            </w:r>
            <w:r w:rsidR="00871B68" w:rsidRPr="00767038">
              <w:rPr>
                <w:sz w:val="18"/>
                <w:szCs w:val="18"/>
                <w:lang w:val="pl-PL"/>
              </w:rPr>
              <w:t>a</w:t>
            </w:r>
            <w:r w:rsidR="00315981" w:rsidRPr="00767038">
              <w:rPr>
                <w:sz w:val="18"/>
                <w:szCs w:val="18"/>
                <w:lang w:val="pl-PL"/>
              </w:rPr>
              <w:t xml:space="preserve"> Programu</w:t>
            </w:r>
          </w:p>
          <w:p w:rsidR="00741F30" w:rsidRPr="00767038" w:rsidRDefault="00741F30" w:rsidP="00A0039A">
            <w:pPr>
              <w:spacing w:before="0"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741F30" w:rsidRDefault="00E53BE3" w:rsidP="00820B28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s</w:t>
      </w:r>
      <w:r w:rsidR="00FD2258">
        <w:rPr>
          <w:lang w:val="pl-PL"/>
        </w:rPr>
        <w:t xml:space="preserve">kładania </w:t>
      </w:r>
      <w:r w:rsidR="00C726BB">
        <w:rPr>
          <w:lang w:val="pl-PL"/>
        </w:rPr>
        <w:t>prognoz</w:t>
      </w:r>
      <w:r w:rsidR="00C726BB" w:rsidRPr="00C726BB">
        <w:rPr>
          <w:lang w:val="pl-PL"/>
        </w:rPr>
        <w:t xml:space="preserve"> dotyczące planowanych przyszłych płatności</w:t>
      </w:r>
      <w:r w:rsidR="00C726BB">
        <w:rPr>
          <w:lang w:val="pl-PL"/>
        </w:rPr>
        <w:t xml:space="preserve"> (art. 5.4.1.b Regulacji);</w:t>
      </w:r>
    </w:p>
    <w:p w:rsidR="00C726BB" w:rsidRDefault="00E53BE3" w:rsidP="00820B28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z</w:t>
      </w:r>
      <w:r w:rsidR="00FD2258">
        <w:rPr>
          <w:lang w:val="pl-PL"/>
        </w:rPr>
        <w:t>głaszania</w:t>
      </w:r>
      <w:r w:rsidR="00C726BB">
        <w:rPr>
          <w:lang w:val="pl-PL"/>
        </w:rPr>
        <w:t xml:space="preserve"> odsetek</w:t>
      </w:r>
      <w:r w:rsidR="00C726BB" w:rsidRPr="00C726BB">
        <w:t xml:space="preserve"> </w:t>
      </w:r>
      <w:r w:rsidR="00C726BB" w:rsidRPr="00C726BB">
        <w:rPr>
          <w:lang w:val="pl-PL"/>
        </w:rPr>
        <w:t>wygenerowan</w:t>
      </w:r>
      <w:r w:rsidR="00C726BB">
        <w:rPr>
          <w:lang w:val="pl-PL"/>
        </w:rPr>
        <w:t>ych</w:t>
      </w:r>
      <w:r w:rsidR="00C726BB" w:rsidRPr="00C726BB">
        <w:rPr>
          <w:lang w:val="pl-PL"/>
        </w:rPr>
        <w:t xml:space="preserve"> na rachunkach</w:t>
      </w:r>
      <w:r w:rsidR="00C726BB">
        <w:rPr>
          <w:lang w:val="pl-PL"/>
        </w:rPr>
        <w:t xml:space="preserve"> (art. 5.4.1.c Regulacji);</w:t>
      </w:r>
    </w:p>
    <w:p w:rsidR="00C726BB" w:rsidRDefault="00431687" w:rsidP="00431687">
      <w:pPr>
        <w:pStyle w:val="Akapitzlist"/>
        <w:numPr>
          <w:ilvl w:val="0"/>
          <w:numId w:val="43"/>
        </w:numPr>
        <w:rPr>
          <w:lang w:val="pl-PL"/>
        </w:rPr>
      </w:pPr>
      <w:r w:rsidRPr="00431687">
        <w:rPr>
          <w:lang w:val="pl-PL"/>
        </w:rPr>
        <w:t xml:space="preserve">uwzględnianie na potrzeby certyfikacji wyników wszystkich audytów przeprowadzonych przez lub w ramach obowiązków Instytucji Audytu </w:t>
      </w:r>
      <w:r w:rsidR="00FD2258">
        <w:rPr>
          <w:lang w:val="pl-PL"/>
        </w:rPr>
        <w:t>(art. 5.4.1.d</w:t>
      </w:r>
      <w:r w:rsidR="009A1FC6">
        <w:rPr>
          <w:lang w:val="pl-PL"/>
        </w:rPr>
        <w:t xml:space="preserve"> Regulacji</w:t>
      </w:r>
      <w:r w:rsidR="00FD2258">
        <w:rPr>
          <w:lang w:val="pl-PL"/>
        </w:rPr>
        <w:t>);</w:t>
      </w:r>
    </w:p>
    <w:p w:rsidR="00FD2258" w:rsidRDefault="00E53BE3" w:rsidP="00820B28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u</w:t>
      </w:r>
      <w:r w:rsidR="00FD2258">
        <w:rPr>
          <w:lang w:val="pl-PL"/>
        </w:rPr>
        <w:t>trzymywania</w:t>
      </w:r>
      <w:r w:rsidR="00FD2258" w:rsidRPr="00FD2258">
        <w:rPr>
          <w:lang w:val="pl-PL"/>
        </w:rPr>
        <w:t xml:space="preserve"> w formie elektronicznej zapisów księgowych dotyczących wydatków</w:t>
      </w:r>
      <w:r w:rsidR="00FD2258">
        <w:rPr>
          <w:lang w:val="pl-PL"/>
        </w:rPr>
        <w:t xml:space="preserve"> </w:t>
      </w:r>
      <w:r w:rsidR="00FD2258" w:rsidRPr="00FD2258">
        <w:rPr>
          <w:lang w:val="pl-PL"/>
        </w:rPr>
        <w:t>(art. 5.4.1.</w:t>
      </w:r>
      <w:r w:rsidR="00FD2258">
        <w:rPr>
          <w:lang w:val="pl-PL"/>
        </w:rPr>
        <w:t>e</w:t>
      </w:r>
      <w:r w:rsidR="009A1FC6">
        <w:rPr>
          <w:lang w:val="pl-PL"/>
        </w:rPr>
        <w:t xml:space="preserve"> Regulacji</w:t>
      </w:r>
      <w:r w:rsidR="00FD2258" w:rsidRPr="00FD2258">
        <w:rPr>
          <w:lang w:val="pl-PL"/>
        </w:rPr>
        <w:t>);</w:t>
      </w:r>
    </w:p>
    <w:p w:rsidR="00FD2258" w:rsidRDefault="00E53BE3" w:rsidP="00FD2258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z</w:t>
      </w:r>
      <w:r w:rsidR="00FD2258">
        <w:rPr>
          <w:lang w:val="pl-PL"/>
        </w:rPr>
        <w:t xml:space="preserve">agwarantowania </w:t>
      </w:r>
      <w:r w:rsidR="00FD2258" w:rsidRPr="00FD2258">
        <w:rPr>
          <w:lang w:val="pl-PL"/>
        </w:rPr>
        <w:t>dostępn</w:t>
      </w:r>
      <w:r w:rsidR="00FD2258">
        <w:rPr>
          <w:lang w:val="pl-PL"/>
        </w:rPr>
        <w:t>ości</w:t>
      </w:r>
      <w:r w:rsidR="00FD2258" w:rsidRPr="00FD2258">
        <w:rPr>
          <w:lang w:val="pl-PL"/>
        </w:rPr>
        <w:t xml:space="preserve"> </w:t>
      </w:r>
      <w:r w:rsidR="00564F47">
        <w:rPr>
          <w:lang w:val="pl-PL"/>
        </w:rPr>
        <w:t>środków</w:t>
      </w:r>
      <w:r w:rsidR="00431687">
        <w:rPr>
          <w:lang w:val="pl-PL"/>
        </w:rPr>
        <w:t xml:space="preserve"> </w:t>
      </w:r>
      <w:r w:rsidR="00FD2258" w:rsidRPr="00FD2258">
        <w:rPr>
          <w:lang w:val="pl-PL"/>
        </w:rPr>
        <w:t>dla Operatorów Programów</w:t>
      </w:r>
      <w:r w:rsidR="008938AC">
        <w:rPr>
          <w:lang w:val="pl-PL"/>
        </w:rPr>
        <w:t xml:space="preserve"> </w:t>
      </w:r>
      <w:r w:rsidR="00FD2258">
        <w:rPr>
          <w:lang w:val="pl-PL"/>
        </w:rPr>
        <w:t>(art. 5.4.1.f</w:t>
      </w:r>
      <w:r w:rsidR="009A1FC6">
        <w:rPr>
          <w:lang w:val="pl-PL"/>
        </w:rPr>
        <w:t xml:space="preserve"> Regulacji</w:t>
      </w:r>
      <w:r w:rsidR="00FD2258" w:rsidRPr="00FD2258">
        <w:rPr>
          <w:lang w:val="pl-PL"/>
        </w:rPr>
        <w:t>);</w:t>
      </w:r>
    </w:p>
    <w:p w:rsidR="00064544" w:rsidRPr="00064544" w:rsidRDefault="00E53BE3" w:rsidP="00064544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z</w:t>
      </w:r>
      <w:r w:rsidR="00197A49" w:rsidRPr="00064544">
        <w:rPr>
          <w:lang w:val="pl-PL"/>
        </w:rPr>
        <w:t xml:space="preserve">wrotu kwot odzyskanych oraz wycofanych po anulowaniu całości lub części wkładu finansowego na rzecz Programu lub Projektu </w:t>
      </w:r>
      <w:r w:rsidR="00064544" w:rsidRPr="00064544">
        <w:rPr>
          <w:lang w:val="pl-PL"/>
        </w:rPr>
        <w:t>(art. 5.4.1.</w:t>
      </w:r>
      <w:r w:rsidR="00064544">
        <w:rPr>
          <w:lang w:val="pl-PL"/>
        </w:rPr>
        <w:t>g</w:t>
      </w:r>
      <w:r w:rsidR="009A1FC6">
        <w:rPr>
          <w:lang w:val="pl-PL"/>
        </w:rPr>
        <w:t xml:space="preserve"> </w:t>
      </w:r>
      <w:r w:rsidR="00B86605">
        <w:rPr>
          <w:lang w:val="pl-PL"/>
        </w:rPr>
        <w:t>Regulacji</w:t>
      </w:r>
      <w:r w:rsidR="00064544" w:rsidRPr="00064544">
        <w:rPr>
          <w:lang w:val="pl-PL"/>
        </w:rPr>
        <w:t>);</w:t>
      </w:r>
    </w:p>
    <w:p w:rsidR="009A1FC6" w:rsidRDefault="00E53BE3" w:rsidP="009A1FC6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lastRenderedPageBreak/>
        <w:t>w</w:t>
      </w:r>
      <w:r w:rsidR="009A1FC6" w:rsidRPr="009A1FC6">
        <w:rPr>
          <w:lang w:val="pl-PL"/>
        </w:rPr>
        <w:t>yrażania w euro kwot wydatków</w:t>
      </w:r>
      <w:r w:rsidR="009A1FC6" w:rsidRPr="009A1FC6">
        <w:t xml:space="preserve"> </w:t>
      </w:r>
      <w:r w:rsidR="009A1FC6" w:rsidRPr="009A1FC6">
        <w:rPr>
          <w:lang w:val="pl-PL"/>
        </w:rPr>
        <w:t xml:space="preserve">poniesionych i raportowanych w Państwach-Beneficjentach, których walutą nie </w:t>
      </w:r>
      <w:r w:rsidR="009A1FC6">
        <w:rPr>
          <w:lang w:val="pl-PL"/>
        </w:rPr>
        <w:t>jest</w:t>
      </w:r>
      <w:r w:rsidR="009A1FC6" w:rsidRPr="009A1FC6">
        <w:rPr>
          <w:lang w:val="pl-PL"/>
        </w:rPr>
        <w:t xml:space="preserve"> euro</w:t>
      </w:r>
      <w:r w:rsidR="009A1FC6">
        <w:rPr>
          <w:lang w:val="pl-PL"/>
        </w:rPr>
        <w:t xml:space="preserve"> (art. 9.6 Regulacji);</w:t>
      </w:r>
    </w:p>
    <w:p w:rsidR="00197A49" w:rsidRDefault="00E53BE3" w:rsidP="00053F66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z</w:t>
      </w:r>
      <w:r w:rsidR="009A1FC6" w:rsidRPr="00A310DD">
        <w:rPr>
          <w:lang w:val="pl-PL"/>
        </w:rPr>
        <w:t>ałożenie oddzielnego, oprocentowanego rachunku bankowego (art. 5.4.</w:t>
      </w:r>
      <w:r w:rsidR="00053F66" w:rsidRPr="00A310DD">
        <w:rPr>
          <w:lang w:val="pl-PL"/>
        </w:rPr>
        <w:t>2 Regulacji).</w:t>
      </w:r>
    </w:p>
    <w:p w:rsidR="00A310DD" w:rsidRDefault="00A310DD" w:rsidP="00820B28">
      <w:pPr>
        <w:pStyle w:val="Akapitzlist"/>
        <w:rPr>
          <w:lang w:val="pl-PL"/>
        </w:rPr>
      </w:pPr>
    </w:p>
    <w:p w:rsidR="00A310DD" w:rsidRDefault="00A310DD" w:rsidP="00820B28">
      <w:pPr>
        <w:rPr>
          <w:b/>
          <w:u w:val="single"/>
          <w:lang w:val="pl-PL"/>
        </w:rPr>
      </w:pPr>
      <w:r w:rsidRPr="00820B28">
        <w:rPr>
          <w:b/>
          <w:u w:val="single"/>
          <w:lang w:val="pl-PL"/>
        </w:rPr>
        <w:t>Instytucja Audytu</w:t>
      </w:r>
    </w:p>
    <w:p w:rsidR="00F17841" w:rsidRDefault="00F17841" w:rsidP="00820B28">
      <w:pPr>
        <w:rPr>
          <w:lang w:val="pl-PL"/>
        </w:rPr>
      </w:pPr>
      <w:r w:rsidRPr="00820B28">
        <w:rPr>
          <w:lang w:val="pl-PL"/>
        </w:rPr>
        <w:t xml:space="preserve">Opis funkcji </w:t>
      </w:r>
      <w:r>
        <w:rPr>
          <w:lang w:val="pl-PL"/>
        </w:rPr>
        <w:t>IA</w:t>
      </w:r>
      <w:r w:rsidRPr="00820B28">
        <w:rPr>
          <w:lang w:val="pl-PL"/>
        </w:rPr>
        <w:t xml:space="preserve"> obejmuje co najmniej poniższe procedury:</w:t>
      </w:r>
    </w:p>
    <w:p w:rsidR="00820B28" w:rsidRDefault="00331F10" w:rsidP="00820B28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przeprowadzanie</w:t>
      </w:r>
      <w:r w:rsidR="00E53BE3" w:rsidRPr="00820B28">
        <w:rPr>
          <w:lang w:val="pl-PL"/>
        </w:rPr>
        <w:t xml:space="preserve"> audytów w celu weryfikacji skutecznego funkcjonowania systemu zarządzania i kontroli na poziomie Państwa-Beneficjenta</w:t>
      </w:r>
      <w:r w:rsidR="00820B28" w:rsidRPr="00820B28">
        <w:rPr>
          <w:lang w:val="pl-PL"/>
        </w:rPr>
        <w:t xml:space="preserve"> (art. 5.5.1.a Regulacji)</w:t>
      </w:r>
      <w:r w:rsidR="00E53BE3" w:rsidRPr="00820B28">
        <w:rPr>
          <w:lang w:val="pl-PL"/>
        </w:rPr>
        <w:t>;</w:t>
      </w:r>
    </w:p>
    <w:p w:rsidR="00F17841" w:rsidRPr="0090247C" w:rsidRDefault="00DB72B9" w:rsidP="0090247C">
      <w:pPr>
        <w:pStyle w:val="Akapitzlist"/>
        <w:numPr>
          <w:ilvl w:val="1"/>
          <w:numId w:val="43"/>
        </w:numPr>
        <w:rPr>
          <w:b/>
          <w:u w:val="single"/>
          <w:lang w:val="pl-PL"/>
        </w:rPr>
      </w:pPr>
      <w:r w:rsidRPr="00182CB4">
        <w:rPr>
          <w:lang w:val="pl-PL"/>
        </w:rPr>
        <w:t xml:space="preserve">raport i opinia </w:t>
      </w:r>
      <w:r w:rsidR="00182CB4" w:rsidRPr="00182CB4">
        <w:rPr>
          <w:lang w:val="pl-PL"/>
        </w:rPr>
        <w:t>potwierdzająca, że system wdrażania Państwa-Beneficjenta jest zgodny R</w:t>
      </w:r>
      <w:r w:rsidR="00182CB4" w:rsidRPr="00331F10">
        <w:rPr>
          <w:lang w:val="pl-PL"/>
        </w:rPr>
        <w:t xml:space="preserve">egulacjami i ogólnie przyjętymi zasadami rachunkowości. Raport zawiera ocenę proporcjonalności wymogów systemów zarządzania i kontroli w stosunku do skuteczności w osiąganiu celów </w:t>
      </w:r>
      <w:r w:rsidR="00182CB4">
        <w:rPr>
          <w:lang w:val="pl-PL"/>
        </w:rPr>
        <w:t>P</w:t>
      </w:r>
      <w:r w:rsidR="00182CB4" w:rsidRPr="00182CB4">
        <w:rPr>
          <w:lang w:val="pl-PL"/>
        </w:rPr>
        <w:t>rogramów</w:t>
      </w:r>
      <w:r w:rsidR="00182CB4">
        <w:rPr>
          <w:lang w:val="pl-PL"/>
        </w:rPr>
        <w:t>;</w:t>
      </w:r>
    </w:p>
    <w:p w:rsidR="00331F10" w:rsidRPr="00331F10" w:rsidRDefault="00331F10" w:rsidP="00331F10">
      <w:pPr>
        <w:pStyle w:val="Akapitzlist"/>
        <w:numPr>
          <w:ilvl w:val="0"/>
          <w:numId w:val="43"/>
        </w:numPr>
        <w:rPr>
          <w:lang w:val="pl-PL"/>
        </w:rPr>
      </w:pPr>
      <w:r w:rsidRPr="0090247C">
        <w:rPr>
          <w:lang w:val="pl-PL"/>
        </w:rPr>
        <w:t>prze</w:t>
      </w:r>
      <w:r w:rsidRPr="00331F10">
        <w:rPr>
          <w:lang w:val="pl-PL"/>
        </w:rPr>
        <w:t>prowadzenie</w:t>
      </w:r>
      <w:r w:rsidRPr="0090247C">
        <w:rPr>
          <w:lang w:val="pl-PL"/>
        </w:rPr>
        <w:t xml:space="preserve"> przynajmniej jednego audytu dla każdego </w:t>
      </w:r>
      <w:r w:rsidRPr="00331F10">
        <w:rPr>
          <w:lang w:val="pl-PL"/>
        </w:rPr>
        <w:t>P</w:t>
      </w:r>
      <w:r w:rsidRPr="0090247C">
        <w:rPr>
          <w:lang w:val="pl-PL"/>
        </w:rPr>
        <w:t>rogramu w celu weryfikacji skutecznego funkcjonowania systemu zarządzania i kontroli</w:t>
      </w:r>
      <w:r w:rsidRPr="00331F10">
        <w:rPr>
          <w:lang w:val="pl-PL"/>
        </w:rPr>
        <w:t xml:space="preserve"> (art. 5.5.1.</w:t>
      </w:r>
      <w:r>
        <w:rPr>
          <w:lang w:val="pl-PL"/>
        </w:rPr>
        <w:t>b</w:t>
      </w:r>
      <w:r w:rsidRPr="00331F10">
        <w:rPr>
          <w:lang w:val="pl-PL"/>
        </w:rPr>
        <w:t xml:space="preserve"> Regulacji);</w:t>
      </w:r>
    </w:p>
    <w:p w:rsidR="00026CD2" w:rsidRPr="00026CD2" w:rsidRDefault="007C22E1" w:rsidP="00026CD2">
      <w:pPr>
        <w:pStyle w:val="Akapitzlist"/>
        <w:numPr>
          <w:ilvl w:val="0"/>
          <w:numId w:val="43"/>
        </w:numPr>
        <w:rPr>
          <w:lang w:val="pl-PL"/>
        </w:rPr>
      </w:pPr>
      <w:r w:rsidRPr="00026CD2">
        <w:rPr>
          <w:lang w:val="pl-PL"/>
        </w:rPr>
        <w:t>przeprowadzenie audytów projektów na podstawie stosownej próby w celu weryfikacji zadeklarowanych wydatków</w:t>
      </w:r>
      <w:r w:rsidR="00545587">
        <w:rPr>
          <w:lang w:val="pl-PL"/>
        </w:rPr>
        <w:t xml:space="preserve"> </w:t>
      </w:r>
      <w:r w:rsidR="00026CD2" w:rsidRPr="00026CD2">
        <w:rPr>
          <w:lang w:val="pl-PL"/>
        </w:rPr>
        <w:t>(art. 5.5.1.</w:t>
      </w:r>
      <w:r w:rsidR="00026CD2">
        <w:rPr>
          <w:lang w:val="pl-PL"/>
        </w:rPr>
        <w:t>c</w:t>
      </w:r>
      <w:r w:rsidR="00026CD2" w:rsidRPr="00026CD2">
        <w:rPr>
          <w:lang w:val="pl-PL"/>
        </w:rPr>
        <w:t xml:space="preserve"> Regulacji);</w:t>
      </w:r>
    </w:p>
    <w:p w:rsidR="00331F10" w:rsidRPr="0090247C" w:rsidRDefault="00545587" w:rsidP="00545587">
      <w:pPr>
        <w:pStyle w:val="Akapitzlist"/>
        <w:numPr>
          <w:ilvl w:val="0"/>
          <w:numId w:val="43"/>
        </w:numPr>
        <w:rPr>
          <w:lang w:val="pl-PL"/>
        </w:rPr>
      </w:pPr>
      <w:r w:rsidRPr="00545587">
        <w:rPr>
          <w:lang w:val="pl-PL"/>
        </w:rPr>
        <w:t>przygotowanie strategii audytu w ciągu dziewięciu miesięcy od momentu zatwierdzenia ostatniego programu</w:t>
      </w:r>
      <w:r>
        <w:rPr>
          <w:lang w:val="pl-PL"/>
        </w:rPr>
        <w:t xml:space="preserve"> (art. 5.5.1.d</w:t>
      </w:r>
      <w:r w:rsidRPr="00545587">
        <w:rPr>
          <w:lang w:val="pl-PL"/>
        </w:rPr>
        <w:t xml:space="preserve"> Regulacji);</w:t>
      </w:r>
    </w:p>
    <w:p w:rsidR="005F2FD8" w:rsidRDefault="00A95E5F" w:rsidP="00A95E5F">
      <w:pPr>
        <w:pStyle w:val="Akapitzlist"/>
        <w:numPr>
          <w:ilvl w:val="0"/>
          <w:numId w:val="43"/>
        </w:numPr>
        <w:rPr>
          <w:lang w:val="pl-PL"/>
        </w:rPr>
      </w:pPr>
      <w:r w:rsidRPr="0090247C">
        <w:rPr>
          <w:lang w:val="pl-PL"/>
        </w:rPr>
        <w:t>przedkładanie rocznego raportu z audytu</w:t>
      </w:r>
      <w:r>
        <w:rPr>
          <w:lang w:val="pl-PL"/>
        </w:rPr>
        <w:t xml:space="preserve"> wraz z opinią </w:t>
      </w:r>
      <w:r w:rsidRPr="00A95E5F">
        <w:rPr>
          <w:lang w:val="pl-PL"/>
        </w:rPr>
        <w:t>(art. 5.5.1.</w:t>
      </w:r>
      <w:r w:rsidR="00613AD9">
        <w:rPr>
          <w:lang w:val="pl-PL"/>
        </w:rPr>
        <w:t>e</w:t>
      </w:r>
      <w:r w:rsidR="005F2FD8">
        <w:rPr>
          <w:lang w:val="pl-PL"/>
        </w:rPr>
        <w:t xml:space="preserve"> Regulacji);</w:t>
      </w:r>
    </w:p>
    <w:p w:rsidR="00613AD9" w:rsidRPr="00D37804" w:rsidRDefault="00613AD9" w:rsidP="00613AD9">
      <w:pPr>
        <w:pStyle w:val="Akapitzlist"/>
        <w:numPr>
          <w:ilvl w:val="0"/>
          <w:numId w:val="43"/>
        </w:numPr>
        <w:rPr>
          <w:lang w:val="pl-PL"/>
        </w:rPr>
      </w:pPr>
      <w:r w:rsidRPr="00613AD9">
        <w:rPr>
          <w:lang w:val="pl-PL"/>
        </w:rPr>
        <w:t xml:space="preserve">przedkładanie deklaracji zamknięcia zawierającej ocenę zasadności wniosku o płatność salda końcowego </w:t>
      </w:r>
      <w:r w:rsidRPr="00D37804">
        <w:rPr>
          <w:lang w:val="pl-PL"/>
        </w:rPr>
        <w:t>(art. 5.5.1.</w:t>
      </w:r>
      <w:r>
        <w:rPr>
          <w:lang w:val="pl-PL"/>
        </w:rPr>
        <w:t>f</w:t>
      </w:r>
      <w:r w:rsidRPr="00613AD9">
        <w:rPr>
          <w:lang w:val="pl-PL"/>
        </w:rPr>
        <w:t xml:space="preserve"> Regulacji);</w:t>
      </w:r>
    </w:p>
    <w:p w:rsidR="005F2FD8" w:rsidRDefault="005F2FD8" w:rsidP="00A95E5F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SZK opisuje procedury przeprowadzania audytów (art. 5.5 Regulacji), procedury dotyczące rocznych raportów z audytów oraz strategii audytów.</w:t>
      </w:r>
    </w:p>
    <w:p w:rsidR="005F2FD8" w:rsidRPr="005F2FD8" w:rsidRDefault="005F2FD8" w:rsidP="0090247C">
      <w:pPr>
        <w:rPr>
          <w:lang w:val="pl-PL"/>
        </w:rPr>
      </w:pPr>
    </w:p>
    <w:p w:rsidR="005F2FD8" w:rsidRDefault="005F2FD8" w:rsidP="0090247C">
      <w:pPr>
        <w:rPr>
          <w:b/>
          <w:u w:val="single"/>
          <w:lang w:val="pl-PL"/>
        </w:rPr>
      </w:pPr>
      <w:r w:rsidRPr="0090247C">
        <w:rPr>
          <w:b/>
          <w:u w:val="single"/>
          <w:lang w:val="pl-PL"/>
        </w:rPr>
        <w:t xml:space="preserve">Instytucja ds. </w:t>
      </w:r>
      <w:proofErr w:type="spellStart"/>
      <w:r w:rsidRPr="0090247C">
        <w:rPr>
          <w:b/>
          <w:u w:val="single"/>
          <w:lang w:val="pl-PL"/>
        </w:rPr>
        <w:t>nieprawidłowści</w:t>
      </w:r>
      <w:proofErr w:type="spellEnd"/>
    </w:p>
    <w:p w:rsidR="005F2FD8" w:rsidRDefault="005F2FD8" w:rsidP="0090247C">
      <w:pPr>
        <w:rPr>
          <w:lang w:val="pl-PL"/>
        </w:rPr>
      </w:pPr>
      <w:r w:rsidRPr="0090247C">
        <w:rPr>
          <w:lang w:val="pl-PL"/>
        </w:rPr>
        <w:t>Opis funkcji I</w:t>
      </w:r>
      <w:r>
        <w:rPr>
          <w:lang w:val="pl-PL"/>
        </w:rPr>
        <w:t>N</w:t>
      </w:r>
      <w:r w:rsidRPr="0090247C">
        <w:rPr>
          <w:lang w:val="pl-PL"/>
        </w:rPr>
        <w:t xml:space="preserve"> obejmuje co najmniej poniższe procedury:</w:t>
      </w:r>
    </w:p>
    <w:p w:rsidR="005F2FD8" w:rsidRDefault="005D7802" w:rsidP="0090247C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prowadzenie</w:t>
      </w:r>
      <w:r w:rsidR="008A00A1">
        <w:rPr>
          <w:lang w:val="pl-PL"/>
        </w:rPr>
        <w:t xml:space="preserve"> </w:t>
      </w:r>
      <w:r w:rsidR="008A00A1" w:rsidRPr="008A00A1">
        <w:rPr>
          <w:lang w:val="pl-PL"/>
        </w:rPr>
        <w:t>rejestr</w:t>
      </w:r>
      <w:r w:rsidR="008A00A1">
        <w:rPr>
          <w:lang w:val="pl-PL"/>
        </w:rPr>
        <w:t>u</w:t>
      </w:r>
      <w:r w:rsidR="008A00A1" w:rsidRPr="008A00A1">
        <w:rPr>
          <w:lang w:val="pl-PL"/>
        </w:rPr>
        <w:t xml:space="preserve"> nieprawidłowoś</w:t>
      </w:r>
      <w:r w:rsidR="008A00A1">
        <w:rPr>
          <w:lang w:val="pl-PL"/>
        </w:rPr>
        <w:t>ci (art. 12.4 Regulacji);</w:t>
      </w:r>
    </w:p>
    <w:p w:rsidR="003B3586" w:rsidRPr="003B3586" w:rsidRDefault="005D7802" w:rsidP="003B3586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zgłaszanie</w:t>
      </w:r>
      <w:r w:rsidR="008A00A1" w:rsidRPr="003B3586">
        <w:rPr>
          <w:lang w:val="pl-PL"/>
        </w:rPr>
        <w:t xml:space="preserve"> podejrzewanych </w:t>
      </w:r>
      <w:r w:rsidR="003B3586" w:rsidRPr="003B3586">
        <w:rPr>
          <w:lang w:val="pl-PL"/>
        </w:rPr>
        <w:t xml:space="preserve">i </w:t>
      </w:r>
      <w:r w:rsidR="008A00A1" w:rsidRPr="003B3586">
        <w:rPr>
          <w:lang w:val="pl-PL"/>
        </w:rPr>
        <w:t>faktycznych przypadków nieprawidłowości</w:t>
      </w:r>
      <w:r w:rsidR="003B3586" w:rsidRPr="003B3586">
        <w:rPr>
          <w:lang w:val="pl-PL"/>
        </w:rPr>
        <w:t xml:space="preserve"> oraz</w:t>
      </w:r>
      <w:r w:rsidR="003B3586" w:rsidRPr="003B3586">
        <w:t xml:space="preserve"> </w:t>
      </w:r>
      <w:r w:rsidR="003B3586" w:rsidRPr="003B3586">
        <w:rPr>
          <w:lang w:val="pl-PL"/>
        </w:rPr>
        <w:t xml:space="preserve">na temat postępów w badaniu i usuwaniu wcześniej zgłoszonych nieprawidłowości </w:t>
      </w:r>
      <w:r w:rsidR="003B3586">
        <w:rPr>
          <w:lang w:val="pl-PL"/>
        </w:rPr>
        <w:t>(art. 12.5 oraz art. 12.6</w:t>
      </w:r>
      <w:r w:rsidR="003B3586" w:rsidRPr="003B3586">
        <w:rPr>
          <w:lang w:val="pl-PL"/>
        </w:rPr>
        <w:t xml:space="preserve"> Regulacji);</w:t>
      </w:r>
    </w:p>
    <w:p w:rsidR="00F03BAC" w:rsidRPr="00230C5D" w:rsidRDefault="00230C5D" w:rsidP="00230C5D">
      <w:pPr>
        <w:pStyle w:val="Akapitzlist"/>
        <w:numPr>
          <w:ilvl w:val="0"/>
          <w:numId w:val="45"/>
        </w:numPr>
        <w:rPr>
          <w:lang w:val="pl-PL"/>
        </w:rPr>
      </w:pPr>
      <w:r w:rsidRPr="00230C5D">
        <w:rPr>
          <w:lang w:val="pl-PL"/>
        </w:rPr>
        <w:t xml:space="preserve">system zapobiegania, łagodzenia skutków nieprawidłowości, wykrywania  </w:t>
      </w:r>
      <w:r w:rsidR="00397126" w:rsidRPr="00230C5D">
        <w:rPr>
          <w:lang w:val="pl-PL"/>
        </w:rPr>
        <w:t xml:space="preserve">nieprawidłowości </w:t>
      </w:r>
      <w:r>
        <w:rPr>
          <w:lang w:val="pl-PL"/>
        </w:rPr>
        <w:t>oraz sposób planowania środków korygujących</w:t>
      </w:r>
      <w:r w:rsidRPr="00230C5D">
        <w:t xml:space="preserve"> </w:t>
      </w:r>
      <w:r>
        <w:t>(</w:t>
      </w:r>
      <w:r w:rsidRPr="00230C5D">
        <w:rPr>
          <w:lang w:val="pl-PL"/>
        </w:rPr>
        <w:t>art. 12.</w:t>
      </w:r>
      <w:r>
        <w:rPr>
          <w:lang w:val="pl-PL"/>
        </w:rPr>
        <w:t>3</w:t>
      </w:r>
      <w:r w:rsidRPr="00230C5D">
        <w:rPr>
          <w:lang w:val="pl-PL"/>
        </w:rPr>
        <w:t xml:space="preserve"> Regulacji);</w:t>
      </w:r>
      <w:r>
        <w:rPr>
          <w:lang w:val="pl-PL"/>
        </w:rPr>
        <w:t xml:space="preserve"> </w:t>
      </w:r>
    </w:p>
    <w:p w:rsidR="008A00A1" w:rsidRPr="0090247C" w:rsidRDefault="00F03BAC" w:rsidP="0090247C">
      <w:pPr>
        <w:rPr>
          <w:b/>
          <w:u w:val="single"/>
          <w:lang w:val="pl-PL"/>
        </w:rPr>
      </w:pPr>
      <w:r w:rsidRPr="0090247C">
        <w:rPr>
          <w:b/>
          <w:u w:val="single"/>
          <w:lang w:val="pl-PL"/>
        </w:rPr>
        <w:t xml:space="preserve">Instytucja </w:t>
      </w:r>
      <w:r w:rsidR="00D37804">
        <w:rPr>
          <w:b/>
          <w:u w:val="single"/>
          <w:lang w:val="pl-PL"/>
        </w:rPr>
        <w:t xml:space="preserve">ds. </w:t>
      </w:r>
      <w:r w:rsidR="00CF46FB">
        <w:rPr>
          <w:b/>
          <w:u w:val="single"/>
          <w:lang w:val="pl-PL"/>
        </w:rPr>
        <w:t xml:space="preserve">skarg </w:t>
      </w:r>
    </w:p>
    <w:p w:rsidR="00182CB4" w:rsidRPr="00634C48" w:rsidRDefault="00457F18" w:rsidP="00634C48">
      <w:pPr>
        <w:pStyle w:val="Akapitzlist"/>
        <w:numPr>
          <w:ilvl w:val="0"/>
          <w:numId w:val="47"/>
        </w:numPr>
        <w:rPr>
          <w:lang w:val="pl-PL"/>
        </w:rPr>
      </w:pPr>
      <w:r w:rsidRPr="00634C48">
        <w:rPr>
          <w:lang w:val="pl-PL"/>
        </w:rPr>
        <w:t>ustanowienie mechanizmu</w:t>
      </w:r>
      <w:r w:rsidRPr="00BC0FB9">
        <w:rPr>
          <w:lang w:val="pl-PL"/>
        </w:rPr>
        <w:t xml:space="preserve"> wnoszenia skarg, który będzie umożliwiał skuteczne procesowanie, rozpoznawanie,</w:t>
      </w:r>
      <w:r w:rsidRPr="00AD76BC">
        <w:rPr>
          <w:lang w:val="pl-PL"/>
        </w:rPr>
        <w:t xml:space="preserve"> </w:t>
      </w:r>
      <w:r w:rsidRPr="007F70B3">
        <w:rPr>
          <w:lang w:val="pl-PL"/>
        </w:rPr>
        <w:t xml:space="preserve">podejmowanie decyzji </w:t>
      </w:r>
      <w:r w:rsidRPr="00634C48">
        <w:rPr>
          <w:lang w:val="pl-PL"/>
        </w:rPr>
        <w:t>oraz raportowanie o skargach</w:t>
      </w:r>
      <w:r w:rsidR="00A24220" w:rsidRPr="00634C48">
        <w:rPr>
          <w:lang w:val="pl-PL"/>
        </w:rPr>
        <w:t xml:space="preserve"> (art. 12.7 Regulacji).</w:t>
      </w:r>
    </w:p>
    <w:p w:rsidR="00A20EF6" w:rsidRPr="00767038" w:rsidRDefault="009E3791" w:rsidP="00921857">
      <w:pPr>
        <w:pStyle w:val="Nagwek4"/>
        <w:keepNext/>
        <w:keepLines/>
        <w:rPr>
          <w:noProof/>
          <w:lang w:val="pl-PL"/>
        </w:rPr>
      </w:pPr>
      <w:r w:rsidRPr="00767038">
        <w:rPr>
          <w:noProof/>
          <w:lang w:val="pl-PL"/>
        </w:rPr>
        <w:lastRenderedPageBreak/>
        <w:t>SZK na poziomie programu</w:t>
      </w:r>
    </w:p>
    <w:p w:rsidR="00851093" w:rsidRPr="00767038" w:rsidRDefault="008D7A73" w:rsidP="00921857">
      <w:pPr>
        <w:keepNext/>
        <w:keepLines/>
        <w:rPr>
          <w:lang w:val="pl-PL"/>
        </w:rPr>
      </w:pPr>
      <w:r w:rsidRPr="00767038">
        <w:rPr>
          <w:lang w:val="pl-PL"/>
        </w:rPr>
        <w:t>SZK opisuje co najmniej następujące elementy</w:t>
      </w:r>
      <w:r w:rsidR="00871B68" w:rsidRPr="00767038">
        <w:rPr>
          <w:lang w:val="pl-PL"/>
        </w:rPr>
        <w:t>,</w:t>
      </w:r>
      <w:r w:rsidRPr="00767038">
        <w:rPr>
          <w:lang w:val="pl-PL"/>
        </w:rPr>
        <w:t xml:space="preserve"> zgodnie z </w:t>
      </w:r>
      <w:r w:rsidR="005A62D3" w:rsidRPr="00767038">
        <w:rPr>
          <w:lang w:val="pl-PL"/>
        </w:rPr>
        <w:t>Regulacjami</w:t>
      </w:r>
      <w:r w:rsidR="00851093" w:rsidRPr="00767038">
        <w:rPr>
          <w:lang w:val="pl-PL"/>
        </w:rPr>
        <w:t xml:space="preserve">: </w:t>
      </w:r>
    </w:p>
    <w:p w:rsidR="007E0E10" w:rsidRPr="00767038" w:rsidRDefault="008D7A73" w:rsidP="008D7A73">
      <w:pPr>
        <w:pStyle w:val="Akapitzlist"/>
        <w:keepNext/>
        <w:keepLines/>
        <w:numPr>
          <w:ilvl w:val="0"/>
          <w:numId w:val="3"/>
        </w:numPr>
        <w:rPr>
          <w:lang w:val="pl-PL"/>
        </w:rPr>
      </w:pPr>
      <w:r w:rsidRPr="00767038">
        <w:rPr>
          <w:lang w:val="pl-PL"/>
        </w:rPr>
        <w:t xml:space="preserve">strukturę organizacyjną, definicję i przypisanie funkcji w ramach każdej </w:t>
      </w:r>
      <w:r w:rsidR="00871B68" w:rsidRPr="00767038">
        <w:rPr>
          <w:lang w:val="pl-PL"/>
        </w:rPr>
        <w:t>instytucji</w:t>
      </w:r>
      <w:r w:rsidRPr="00767038">
        <w:rPr>
          <w:lang w:val="pl-PL"/>
        </w:rPr>
        <w:t xml:space="preserve">. </w:t>
      </w:r>
    </w:p>
    <w:p w:rsidR="0048443C" w:rsidRPr="00767038" w:rsidRDefault="008D7A73" w:rsidP="007E0E10">
      <w:pPr>
        <w:pStyle w:val="Akapitzlist"/>
        <w:keepNext/>
        <w:keepLines/>
        <w:ind w:left="284"/>
        <w:rPr>
          <w:lang w:val="pl-PL"/>
        </w:rPr>
      </w:pPr>
      <w:r w:rsidRPr="00767038">
        <w:rPr>
          <w:lang w:val="pl-PL"/>
        </w:rPr>
        <w:t xml:space="preserve">Struktura organizacyjna powinna być odpowiednio opisana. Ważne jest, aby dział odpowiedzialny za weryfikację raportów finansowych lub poniesionych wydatków był oddzielony od działów odpowiedzialnych za </w:t>
      </w:r>
      <w:r w:rsidR="007E0E10" w:rsidRPr="00767038">
        <w:rPr>
          <w:lang w:val="pl-PL"/>
        </w:rPr>
        <w:t xml:space="preserve">wdrażanie </w:t>
      </w:r>
      <w:r w:rsidRPr="00767038">
        <w:rPr>
          <w:lang w:val="pl-PL"/>
        </w:rPr>
        <w:t>programu</w:t>
      </w:r>
      <w:r w:rsidR="00851093" w:rsidRPr="00767038">
        <w:rPr>
          <w:lang w:val="pl-PL"/>
        </w:rPr>
        <w:t>.</w:t>
      </w:r>
      <w:r w:rsidRPr="00767038">
        <w:rPr>
          <w:lang w:val="pl-PL"/>
        </w:rPr>
        <w:t xml:space="preserve"> Ma to także zapewnić niezależność projektu i zgodność z zasadą rozdziału funkcji</w:t>
      </w:r>
      <w:r w:rsidR="00851093" w:rsidRPr="00767038">
        <w:rPr>
          <w:lang w:val="pl-PL"/>
        </w:rPr>
        <w:t>.</w:t>
      </w:r>
      <w:r w:rsidRPr="00767038">
        <w:rPr>
          <w:lang w:val="pl-PL"/>
        </w:rPr>
        <w:t xml:space="preserve"> Sekcja 3.3. „Podział obowiązków” zawiera dalsze informacje na temat podziału obowiązków. SZK opisuje przepływy płatności </w:t>
      </w:r>
      <w:r w:rsidR="007E0E10" w:rsidRPr="00767038">
        <w:rPr>
          <w:lang w:val="pl-PL"/>
        </w:rPr>
        <w:t xml:space="preserve">od </w:t>
      </w:r>
      <w:r w:rsidR="00315981" w:rsidRPr="00767038">
        <w:rPr>
          <w:lang w:val="pl-PL"/>
        </w:rPr>
        <w:t>Operator</w:t>
      </w:r>
      <w:r w:rsidR="007E0E10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</w:t>
      </w:r>
      <w:r w:rsidR="007E0E10" w:rsidRPr="00767038">
        <w:rPr>
          <w:lang w:val="pl-PL"/>
        </w:rPr>
        <w:t>do</w:t>
      </w:r>
      <w:r w:rsidRPr="00767038">
        <w:rPr>
          <w:lang w:val="pl-PL"/>
        </w:rPr>
        <w:t xml:space="preserve"> projekt</w:t>
      </w:r>
      <w:r w:rsidR="007E0E10" w:rsidRPr="00767038">
        <w:rPr>
          <w:lang w:val="pl-PL"/>
        </w:rPr>
        <w:t>ów</w:t>
      </w:r>
      <w:r w:rsidRPr="00767038">
        <w:rPr>
          <w:lang w:val="pl-PL"/>
        </w:rPr>
        <w:t>;</w:t>
      </w:r>
    </w:p>
    <w:p w:rsidR="00A20EF6" w:rsidRPr="00767038" w:rsidRDefault="008D7A73" w:rsidP="008D7A73">
      <w:pPr>
        <w:pStyle w:val="Akapitzlist"/>
        <w:numPr>
          <w:ilvl w:val="0"/>
          <w:numId w:val="3"/>
        </w:numPr>
        <w:rPr>
          <w:lang w:val="pl-PL"/>
        </w:rPr>
      </w:pPr>
      <w:r w:rsidRPr="00767038">
        <w:rPr>
          <w:lang w:val="pl-PL"/>
        </w:rPr>
        <w:t>procedury wyboru. SZK opisuje procedury wyboru projektów;</w:t>
      </w:r>
    </w:p>
    <w:p w:rsidR="007E0E10" w:rsidRPr="00767038" w:rsidRDefault="008D7A73" w:rsidP="00FA4FCD">
      <w:pPr>
        <w:pStyle w:val="Akapitzlist"/>
        <w:numPr>
          <w:ilvl w:val="0"/>
          <w:numId w:val="3"/>
        </w:numPr>
        <w:rPr>
          <w:lang w:val="pl-PL"/>
        </w:rPr>
      </w:pPr>
      <w:r w:rsidRPr="00767038">
        <w:rPr>
          <w:lang w:val="pl-PL"/>
        </w:rPr>
        <w:t>procedury weryfikacji raportów finansowych projektów.</w:t>
      </w:r>
      <w:r w:rsidR="00FA4FCD" w:rsidRPr="00767038">
        <w:rPr>
          <w:lang w:val="pl-PL"/>
        </w:rPr>
        <w:t xml:space="preserve"> </w:t>
      </w:r>
    </w:p>
    <w:p w:rsidR="00851093" w:rsidRPr="00767038" w:rsidRDefault="00FA4FCD" w:rsidP="007E0E10">
      <w:pPr>
        <w:pStyle w:val="Akapitzlist"/>
        <w:ind w:left="284"/>
        <w:rPr>
          <w:lang w:val="pl-PL"/>
        </w:rPr>
      </w:pPr>
      <w:r w:rsidRPr="00767038">
        <w:rPr>
          <w:lang w:val="pl-PL"/>
        </w:rPr>
        <w:t xml:space="preserve">SZK opisuje procedury służące zapewnieniu poprawności i regularności wydatków. Weryfikacje obejmują aspekt administracyjny, finansowy, techniczny i fizyczny projektów i są zgodne z zasadą </w:t>
      </w:r>
      <w:r w:rsidR="007E0E10" w:rsidRPr="00767038">
        <w:rPr>
          <w:lang w:val="pl-PL"/>
        </w:rPr>
        <w:t>proporcjonalności</w:t>
      </w:r>
      <w:r w:rsidRPr="00767038">
        <w:rPr>
          <w:lang w:val="pl-PL"/>
        </w:rPr>
        <w:t>. SZK może na przykład opisywać standardy i procedury dla dwóch rodzajów weryfikacji</w:t>
      </w:r>
      <w:r w:rsidR="00851093" w:rsidRPr="00767038">
        <w:rPr>
          <w:lang w:val="pl-PL"/>
        </w:rPr>
        <w:t xml:space="preserve">, </w:t>
      </w:r>
      <w:r w:rsidRPr="00767038">
        <w:rPr>
          <w:lang w:val="pl-PL"/>
        </w:rPr>
        <w:t>tj</w:t>
      </w:r>
      <w:r w:rsidR="00851093" w:rsidRPr="00767038">
        <w:rPr>
          <w:lang w:val="pl-PL"/>
        </w:rPr>
        <w:t xml:space="preserve">. </w:t>
      </w:r>
      <w:r w:rsidRPr="00767038">
        <w:rPr>
          <w:lang w:val="pl-PL"/>
        </w:rPr>
        <w:t>weryfikacji administracyjn</w:t>
      </w:r>
      <w:r w:rsidR="007E0E10" w:rsidRPr="00767038">
        <w:rPr>
          <w:lang w:val="pl-PL"/>
        </w:rPr>
        <w:t>ej</w:t>
      </w:r>
      <w:r w:rsidRPr="00767038">
        <w:rPr>
          <w:lang w:val="pl-PL"/>
        </w:rPr>
        <w:t xml:space="preserve"> (przy biurku) i weryfikacji na miejscu;</w:t>
      </w:r>
    </w:p>
    <w:p w:rsidR="007E0E10" w:rsidRPr="00767038" w:rsidRDefault="00FA4FCD" w:rsidP="00FA4FCD">
      <w:pPr>
        <w:pStyle w:val="Akapitzlist"/>
        <w:numPr>
          <w:ilvl w:val="0"/>
          <w:numId w:val="3"/>
        </w:numPr>
        <w:spacing w:before="0" w:after="0"/>
        <w:contextualSpacing w:val="0"/>
        <w:rPr>
          <w:lang w:val="pl-PL"/>
        </w:rPr>
      </w:pPr>
      <w:r w:rsidRPr="00767038">
        <w:rPr>
          <w:lang w:val="pl-PL"/>
        </w:rPr>
        <w:t xml:space="preserve">system sprawozdawczości i monitorowania. </w:t>
      </w:r>
    </w:p>
    <w:p w:rsidR="00851093" w:rsidRPr="00767038" w:rsidRDefault="00315981" w:rsidP="007E0E10">
      <w:pPr>
        <w:pStyle w:val="Akapitzlist"/>
        <w:spacing w:before="0" w:after="0"/>
        <w:ind w:left="284"/>
        <w:contextualSpacing w:val="0"/>
        <w:rPr>
          <w:lang w:val="pl-PL"/>
        </w:rPr>
      </w:pPr>
      <w:r w:rsidRPr="00767038">
        <w:rPr>
          <w:lang w:val="pl-PL"/>
        </w:rPr>
        <w:t>Operator Programu</w:t>
      </w:r>
      <w:r w:rsidR="00FA4FCD" w:rsidRPr="00767038">
        <w:rPr>
          <w:lang w:val="pl-PL"/>
        </w:rPr>
        <w:t xml:space="preserve"> jest odpowiedzialny za coroczne monitorowanie próby projektów wybranych na podstawie </w:t>
      </w:r>
      <w:r w:rsidR="007E0E10" w:rsidRPr="00767038">
        <w:rPr>
          <w:lang w:val="pl-PL"/>
        </w:rPr>
        <w:t xml:space="preserve">analizy </w:t>
      </w:r>
      <w:r w:rsidR="00FA4FCD" w:rsidRPr="00767038">
        <w:rPr>
          <w:lang w:val="pl-PL"/>
        </w:rPr>
        <w:t xml:space="preserve">ryzyka </w:t>
      </w:r>
      <w:r w:rsidR="007E0E10" w:rsidRPr="00767038">
        <w:rPr>
          <w:lang w:val="pl-PL"/>
        </w:rPr>
        <w:t>oraz obejmującej losowy dobór próby</w:t>
      </w:r>
      <w:r w:rsidR="00FA4FCD" w:rsidRPr="00767038">
        <w:rPr>
          <w:lang w:val="pl-PL"/>
        </w:rPr>
        <w:t xml:space="preserve"> </w:t>
      </w:r>
      <w:r w:rsidR="00851093" w:rsidRPr="00767038">
        <w:rPr>
          <w:lang w:val="pl-PL"/>
        </w:rPr>
        <w:t>(</w:t>
      </w:r>
      <w:r w:rsidR="00FA4FCD" w:rsidRPr="00767038">
        <w:rPr>
          <w:lang w:val="pl-PL"/>
        </w:rPr>
        <w:t>a</w:t>
      </w:r>
      <w:r w:rsidR="00851093" w:rsidRPr="00767038">
        <w:rPr>
          <w:lang w:val="pl-PL"/>
        </w:rPr>
        <w:t>rt. 5.6.1</w:t>
      </w:r>
      <w:r w:rsidR="00FA4FCD" w:rsidRPr="00767038">
        <w:rPr>
          <w:lang w:val="pl-PL"/>
        </w:rPr>
        <w:t xml:space="preserve"> lit.</w:t>
      </w:r>
      <w:r w:rsidR="00851093" w:rsidRPr="00767038">
        <w:rPr>
          <w:lang w:val="pl-PL"/>
        </w:rPr>
        <w:t xml:space="preserve"> (i)</w:t>
      </w:r>
      <w:r w:rsidR="00FA4FCD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851093" w:rsidRPr="00767038">
        <w:rPr>
          <w:lang w:val="pl-PL"/>
        </w:rPr>
        <w:t xml:space="preserve">). </w:t>
      </w:r>
      <w:r w:rsidR="00FA4FCD" w:rsidRPr="00767038">
        <w:rPr>
          <w:lang w:val="pl-PL"/>
        </w:rPr>
        <w:t xml:space="preserve">Procedurę tę należy </w:t>
      </w:r>
      <w:r w:rsidR="007E0E10" w:rsidRPr="00767038">
        <w:rPr>
          <w:lang w:val="pl-PL"/>
        </w:rPr>
        <w:t xml:space="preserve">opisać </w:t>
      </w:r>
      <w:r w:rsidR="00A35E94" w:rsidRPr="00767038">
        <w:rPr>
          <w:lang w:val="pl-PL"/>
        </w:rPr>
        <w:t>każdorazowo</w:t>
      </w:r>
      <w:r w:rsidR="007E0E10" w:rsidRPr="00767038">
        <w:rPr>
          <w:lang w:val="pl-PL"/>
        </w:rPr>
        <w:t xml:space="preserve"> </w:t>
      </w:r>
      <w:r w:rsidR="00FA4FCD" w:rsidRPr="00767038">
        <w:rPr>
          <w:lang w:val="pl-PL"/>
        </w:rPr>
        <w:t xml:space="preserve">w </w:t>
      </w:r>
      <w:r w:rsidR="007E0E10" w:rsidRPr="00767038">
        <w:rPr>
          <w:lang w:val="pl-PL"/>
        </w:rPr>
        <w:t>Raportach rocznych dla programów</w:t>
      </w:r>
      <w:r w:rsidR="00851093" w:rsidRPr="00767038">
        <w:rPr>
          <w:lang w:val="pl-PL"/>
        </w:rPr>
        <w:t xml:space="preserve">. </w:t>
      </w:r>
      <w:r w:rsidR="00FA4FCD" w:rsidRPr="00767038">
        <w:rPr>
          <w:lang w:val="pl-PL"/>
        </w:rPr>
        <w:t xml:space="preserve">Dodatkowo SZK na poziomie programu zawiera opis narzędzi do monitorowania, jego częstotliwość i sposób, w jaki informacje zbierane w drodze monitorowania będą przechowywane i </w:t>
      </w:r>
      <w:r w:rsidR="007E0E10" w:rsidRPr="00767038">
        <w:rPr>
          <w:lang w:val="pl-PL"/>
        </w:rPr>
        <w:t>weryfikowane</w:t>
      </w:r>
      <w:r w:rsidR="00FA4FCD" w:rsidRPr="00767038">
        <w:rPr>
          <w:lang w:val="pl-PL"/>
        </w:rPr>
        <w:t xml:space="preserve">. </w:t>
      </w:r>
      <w:proofErr w:type="spellStart"/>
      <w:r w:rsidR="007E0E10" w:rsidRPr="00767038">
        <w:rPr>
          <w:lang w:val="pl-PL"/>
        </w:rPr>
        <w:t>Result</w:t>
      </w:r>
      <w:proofErr w:type="spellEnd"/>
      <w:r w:rsidR="007E0E10" w:rsidRPr="00767038">
        <w:rPr>
          <w:lang w:val="pl-PL"/>
        </w:rPr>
        <w:t xml:space="preserve"> </w:t>
      </w:r>
      <w:proofErr w:type="spellStart"/>
      <w:r w:rsidR="007E0E10" w:rsidRPr="00767038">
        <w:rPr>
          <w:lang w:val="pl-PL"/>
        </w:rPr>
        <w:t>Guideline</w:t>
      </w:r>
      <w:proofErr w:type="spellEnd"/>
      <w:r w:rsidR="00FA4FCD" w:rsidRPr="00767038">
        <w:rPr>
          <w:lang w:val="pl-PL"/>
        </w:rPr>
        <w:t xml:space="preserve"> zawierają dalsze informacje na temat </w:t>
      </w:r>
      <w:r w:rsidR="007E0E10" w:rsidRPr="00767038">
        <w:rPr>
          <w:lang w:val="pl-PL"/>
        </w:rPr>
        <w:t xml:space="preserve">analizy </w:t>
      </w:r>
      <w:r w:rsidR="00FA4FCD" w:rsidRPr="00767038">
        <w:rPr>
          <w:lang w:val="pl-PL"/>
        </w:rPr>
        <w:t>ryzyka i narzędzi monitorowania</w:t>
      </w:r>
      <w:r w:rsidR="00AD5056" w:rsidRPr="00767038">
        <w:rPr>
          <w:lang w:val="pl-PL"/>
        </w:rPr>
        <w:t>;</w:t>
      </w:r>
    </w:p>
    <w:p w:rsidR="00087907" w:rsidRPr="00767038" w:rsidRDefault="002F5F8A" w:rsidP="00BE6282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 w:rsidRPr="00767038">
        <w:rPr>
          <w:lang w:val="pl-PL"/>
        </w:rPr>
        <w:t>system zapobiegania, łagodzenia skutków, wykrywania, raportowania i korygowania nieprawidłowości</w:t>
      </w:r>
    </w:p>
    <w:p w:rsidR="00087907" w:rsidRPr="00767038" w:rsidRDefault="002F5F8A" w:rsidP="00BE6282">
      <w:pPr>
        <w:pStyle w:val="Akapitzlist"/>
        <w:spacing w:before="0" w:after="0"/>
        <w:ind w:left="284"/>
        <w:rPr>
          <w:lang w:val="pl-PL"/>
        </w:rPr>
      </w:pPr>
      <w:r w:rsidRPr="00767038">
        <w:rPr>
          <w:lang w:val="pl-PL"/>
        </w:rPr>
        <w:t>SZK powinien wyjaśniać szczegółowo środki zapobiegania i łagodzenia skutków nieprawidłowości</w:t>
      </w:r>
      <w:r w:rsidR="00851093" w:rsidRPr="00767038">
        <w:rPr>
          <w:lang w:val="pl-PL"/>
        </w:rPr>
        <w:t>,</w:t>
      </w:r>
      <w:r w:rsidRPr="00767038">
        <w:rPr>
          <w:lang w:val="pl-PL"/>
        </w:rPr>
        <w:t xml:space="preserve"> sposób wykrywania i raportowania nieprawidłowości oraz sposób planowania działań korygujących</w:t>
      </w:r>
      <w:r w:rsidR="001D0157" w:rsidRPr="00767038">
        <w:rPr>
          <w:lang w:val="pl-PL"/>
        </w:rPr>
        <w:t>.</w:t>
      </w:r>
    </w:p>
    <w:p w:rsidR="007E0E10" w:rsidRPr="00767038" w:rsidRDefault="002F5F8A" w:rsidP="006D1774">
      <w:pPr>
        <w:pStyle w:val="Akapitzlist"/>
        <w:numPr>
          <w:ilvl w:val="0"/>
          <w:numId w:val="3"/>
        </w:numPr>
        <w:spacing w:before="0" w:after="0"/>
        <w:contextualSpacing w:val="0"/>
        <w:rPr>
          <w:lang w:val="pl-PL"/>
        </w:rPr>
      </w:pPr>
      <w:r w:rsidRPr="00767038">
        <w:rPr>
          <w:lang w:val="pl-PL"/>
        </w:rPr>
        <w:t xml:space="preserve">system stworzony w celu zachowania ścieżki audytu dla wszystkich dodatkowych działań. </w:t>
      </w:r>
    </w:p>
    <w:p w:rsidR="00851093" w:rsidRPr="00767038" w:rsidRDefault="002F5F8A" w:rsidP="007E0E10">
      <w:pPr>
        <w:pStyle w:val="Akapitzlist"/>
        <w:spacing w:before="0" w:after="0"/>
        <w:ind w:left="284"/>
        <w:contextualSpacing w:val="0"/>
        <w:rPr>
          <w:lang w:val="pl-PL"/>
        </w:rPr>
      </w:pPr>
      <w:r w:rsidRPr="00767038">
        <w:rPr>
          <w:lang w:val="pl-PL"/>
        </w:rPr>
        <w:t>SZK zawiera informacje na temat systemów i procedur służących zapewnieniu odpowiedniej ścieżki audytu</w:t>
      </w:r>
      <w:r w:rsidR="00851093" w:rsidRPr="00767038">
        <w:rPr>
          <w:lang w:val="pl-PL"/>
        </w:rPr>
        <w:t>.</w:t>
      </w:r>
      <w:r w:rsidRPr="00767038">
        <w:rPr>
          <w:lang w:val="pl-PL"/>
        </w:rPr>
        <w:t xml:space="preserve"> Wszystkie rejestry finansowe związane z programem i projektem </w:t>
      </w:r>
      <w:r w:rsidR="004355F6" w:rsidRPr="00767038">
        <w:rPr>
          <w:lang w:val="pl-PL"/>
        </w:rPr>
        <w:t>powinny być</w:t>
      </w:r>
      <w:r w:rsidRPr="00767038">
        <w:rPr>
          <w:lang w:val="pl-PL"/>
        </w:rPr>
        <w:t xml:space="preserve"> przechowywa</w:t>
      </w:r>
      <w:r w:rsidR="004355F6" w:rsidRPr="00767038">
        <w:rPr>
          <w:lang w:val="pl-PL"/>
        </w:rPr>
        <w:t>ne</w:t>
      </w:r>
      <w:r w:rsidRPr="00767038">
        <w:rPr>
          <w:lang w:val="pl-PL"/>
        </w:rPr>
        <w:t xml:space="preserve"> w formie elektronicznej</w:t>
      </w:r>
      <w:r w:rsidR="001D0157" w:rsidRPr="00767038">
        <w:rPr>
          <w:lang w:val="pl-PL"/>
        </w:rPr>
        <w:t>.</w:t>
      </w:r>
    </w:p>
    <w:p w:rsidR="00851093" w:rsidRPr="00767038" w:rsidRDefault="002F5F8A" w:rsidP="00C27B08">
      <w:pPr>
        <w:pStyle w:val="Nagwek3"/>
        <w:rPr>
          <w:lang w:val="pl-PL"/>
        </w:rPr>
      </w:pPr>
      <w:r w:rsidRPr="00767038">
        <w:rPr>
          <w:lang w:val="pl-PL"/>
        </w:rPr>
        <w:t>Raport i opinia audytora na temat SZK</w:t>
      </w:r>
    </w:p>
    <w:p w:rsidR="007926F5" w:rsidRPr="00767038" w:rsidRDefault="00FB2938" w:rsidP="00E74DEC">
      <w:pPr>
        <w:keepNext/>
        <w:keepLines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14F5E7" wp14:editId="142A8BCB">
                <wp:simplePos x="0" y="0"/>
                <wp:positionH relativeFrom="column">
                  <wp:posOffset>3256280</wp:posOffset>
                </wp:positionH>
                <wp:positionV relativeFrom="paragraph">
                  <wp:posOffset>76835</wp:posOffset>
                </wp:positionV>
                <wp:extent cx="2172970" cy="2757170"/>
                <wp:effectExtent l="141605" t="10160" r="9525" b="13970"/>
                <wp:wrapSquare wrapText="bothSides"/>
                <wp:docPr id="14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2757170"/>
                        </a:xfrm>
                        <a:prstGeom prst="wedgeRoundRectCallout">
                          <a:avLst>
                            <a:gd name="adj1" fmla="val -55755"/>
                            <a:gd name="adj2" fmla="val -333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0274DD" w:rsidRDefault="00C522D7" w:rsidP="007926F5">
                            <w:p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 raporcie z audytu I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nstytucja 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A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udytu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zawiera co najmn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iej (art. 5.7.3 rozporządzeń):</w:t>
                            </w:r>
                          </w:p>
                          <w:p w:rsidR="00C522D7" w:rsidRPr="000274DD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opinię potwierdzającą, że SZK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jest zgodny z Regulacjami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i ogólnie 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przyjęt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ymi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zasad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ami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rachunkowości; </w:t>
                            </w:r>
                          </w:p>
                          <w:p w:rsidR="00C522D7" w:rsidRPr="000274DD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ocenę proporcjonalności wym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ogów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SZK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w stosunku do 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skuteczności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 </w:t>
                            </w:r>
                            <w:r w:rsidRPr="000274DD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osiąganiu celów programów.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38" type="#_x0000_t62" style="position:absolute;left:0;text-align:left;margin-left:256.4pt;margin-top:6.05pt;width:171.1pt;height:21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" adj="-1243,10079" fillcolor="white [3201]" strokecolor="black [3200]" strokeweight="1pt">
                <v:textbox>
                  <w:txbxContent>
                    <w:p w:rsidR="00C522D7" w:rsidRPr="000274DD" w:rsidRDefault="00C522D7" w:rsidP="007926F5">
                      <w:p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>W raporcie z audytu I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nstytucja 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>A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udytu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zawiera co najmn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iej (art. 5.7.3 rozporządzeń):</w:t>
                      </w:r>
                    </w:p>
                    <w:p w:rsidR="00C522D7" w:rsidRPr="000274DD" w:rsidRDefault="00C522D7" w:rsidP="00767038">
                      <w:pPr>
                        <w:pStyle w:val="Akapitzlist"/>
                        <w:numPr>
                          <w:ilvl w:val="0"/>
                          <w:numId w:val="29"/>
                        </w:num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>opinię potwierdzającą, że SZK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jest zgodny z Regulacjami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i ogólnie 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>przyjęt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ymi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zasad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ami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rachunkowości; </w:t>
                      </w:r>
                    </w:p>
                    <w:p w:rsidR="00C522D7" w:rsidRPr="000274DD" w:rsidRDefault="00C522D7" w:rsidP="00767038">
                      <w:pPr>
                        <w:pStyle w:val="Akapitzlist"/>
                        <w:numPr>
                          <w:ilvl w:val="0"/>
                          <w:numId w:val="29"/>
                        </w:numPr>
                        <w:jc w:val="left"/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>ocenę proporcjonalności wym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ogów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SZK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w stosunku do 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skuteczności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 </w:t>
                      </w:r>
                      <w:r w:rsidRPr="000274DD">
                        <w:rPr>
                          <w:color w:val="4472C4" w:themeColor="accent5"/>
                          <w:sz w:val="18"/>
                          <w:lang w:val="pl-PL"/>
                        </w:rPr>
                        <w:t>osiąganiu celów programów.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4DD" w:rsidRPr="00767038">
        <w:rPr>
          <w:lang w:val="pl-PL"/>
        </w:rPr>
        <w:t>Do SZK na obu poziomach dołącza się raport i opinię IA potwierdzają</w:t>
      </w:r>
      <w:r w:rsidR="00FE376A" w:rsidRPr="00767038">
        <w:rPr>
          <w:lang w:val="pl-PL"/>
        </w:rPr>
        <w:t>cą</w:t>
      </w:r>
      <w:r w:rsidR="000274DD" w:rsidRPr="00767038">
        <w:rPr>
          <w:lang w:val="pl-PL"/>
        </w:rPr>
        <w:t xml:space="preserve">, że system </w:t>
      </w:r>
      <w:r w:rsidR="00FE376A" w:rsidRPr="00767038">
        <w:rPr>
          <w:lang w:val="pl-PL"/>
        </w:rPr>
        <w:t>wdrażania Państwa-Beneficjenta</w:t>
      </w:r>
      <w:r w:rsidR="000274DD" w:rsidRPr="00767038">
        <w:rPr>
          <w:lang w:val="pl-PL"/>
        </w:rPr>
        <w:t xml:space="preserve"> i </w:t>
      </w:r>
      <w:r w:rsidR="00315981" w:rsidRPr="00767038">
        <w:rPr>
          <w:lang w:val="pl-PL"/>
        </w:rPr>
        <w:t>Operator</w:t>
      </w:r>
      <w:r w:rsidR="00FE376A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0274DD" w:rsidRPr="00767038">
        <w:rPr>
          <w:lang w:val="pl-PL"/>
        </w:rPr>
        <w:t xml:space="preserve"> </w:t>
      </w:r>
      <w:r w:rsidR="00FE376A" w:rsidRPr="00767038">
        <w:rPr>
          <w:lang w:val="pl-PL"/>
        </w:rPr>
        <w:t xml:space="preserve">jest zgodny z </w:t>
      </w:r>
      <w:r w:rsidR="00A35E94" w:rsidRPr="00767038">
        <w:rPr>
          <w:lang w:val="pl-PL"/>
        </w:rPr>
        <w:t>Regulacjami i</w:t>
      </w:r>
      <w:r w:rsidR="000274DD" w:rsidRPr="00767038">
        <w:rPr>
          <w:lang w:val="pl-PL"/>
        </w:rPr>
        <w:t xml:space="preserve"> </w:t>
      </w:r>
      <w:r w:rsidR="00FE376A" w:rsidRPr="00767038">
        <w:rPr>
          <w:lang w:val="pl-PL"/>
        </w:rPr>
        <w:t xml:space="preserve">ogólnie </w:t>
      </w:r>
      <w:r w:rsidR="000274DD" w:rsidRPr="00767038">
        <w:rPr>
          <w:lang w:val="pl-PL"/>
        </w:rPr>
        <w:t>przyjęt</w:t>
      </w:r>
      <w:r w:rsidR="00FE376A" w:rsidRPr="00767038">
        <w:rPr>
          <w:lang w:val="pl-PL"/>
        </w:rPr>
        <w:t>ymi</w:t>
      </w:r>
      <w:r w:rsidR="000274DD" w:rsidRPr="00767038">
        <w:rPr>
          <w:lang w:val="pl-PL"/>
        </w:rPr>
        <w:t xml:space="preserve"> zasad</w:t>
      </w:r>
      <w:r w:rsidR="00FE376A" w:rsidRPr="00767038">
        <w:rPr>
          <w:lang w:val="pl-PL"/>
        </w:rPr>
        <w:t>ami</w:t>
      </w:r>
      <w:r w:rsidR="000274DD" w:rsidRPr="00767038">
        <w:rPr>
          <w:lang w:val="pl-PL"/>
        </w:rPr>
        <w:t xml:space="preserve"> rachunkowości</w:t>
      </w:r>
      <w:r w:rsidR="007926F5" w:rsidRPr="00767038">
        <w:rPr>
          <w:lang w:val="pl-PL"/>
        </w:rPr>
        <w:t>.</w:t>
      </w:r>
      <w:r w:rsidR="000274DD" w:rsidRPr="00767038">
        <w:rPr>
          <w:lang w:val="pl-PL"/>
        </w:rPr>
        <w:t xml:space="preserve"> Raport zawiera </w:t>
      </w:r>
      <w:r w:rsidR="00FE376A" w:rsidRPr="00767038">
        <w:rPr>
          <w:lang w:val="pl-PL"/>
        </w:rPr>
        <w:t>ocenę</w:t>
      </w:r>
      <w:r w:rsidR="000274DD" w:rsidRPr="00767038">
        <w:rPr>
          <w:lang w:val="pl-PL"/>
        </w:rPr>
        <w:t xml:space="preserve"> proporcjonaln</w:t>
      </w:r>
      <w:r w:rsidR="00FE376A" w:rsidRPr="00767038">
        <w:rPr>
          <w:lang w:val="pl-PL"/>
        </w:rPr>
        <w:t>ości</w:t>
      </w:r>
      <w:r w:rsidR="000274DD" w:rsidRPr="00767038">
        <w:rPr>
          <w:lang w:val="pl-PL"/>
        </w:rPr>
        <w:t xml:space="preserve"> </w:t>
      </w:r>
      <w:r w:rsidR="00FE376A" w:rsidRPr="00767038">
        <w:rPr>
          <w:lang w:val="pl-PL"/>
        </w:rPr>
        <w:t>wymogów systemów zarządzania i kontroli w stosunku do</w:t>
      </w:r>
      <w:r w:rsidR="000274DD" w:rsidRPr="00767038">
        <w:rPr>
          <w:lang w:val="pl-PL"/>
        </w:rPr>
        <w:t xml:space="preserve"> skuteczności </w:t>
      </w:r>
      <w:r w:rsidR="00FE376A" w:rsidRPr="00767038">
        <w:rPr>
          <w:lang w:val="pl-PL"/>
        </w:rPr>
        <w:t xml:space="preserve">w </w:t>
      </w:r>
      <w:r w:rsidR="000274DD" w:rsidRPr="00767038">
        <w:rPr>
          <w:lang w:val="pl-PL"/>
        </w:rPr>
        <w:t>osiągani</w:t>
      </w:r>
      <w:r w:rsidR="00FE376A" w:rsidRPr="00767038">
        <w:rPr>
          <w:lang w:val="pl-PL"/>
        </w:rPr>
        <w:t>u</w:t>
      </w:r>
      <w:r w:rsidR="000274DD" w:rsidRPr="00767038">
        <w:rPr>
          <w:lang w:val="pl-PL"/>
        </w:rPr>
        <w:t xml:space="preserve"> celów programów, tj. czy treść i forma wymagań SZK nie wykracza ponad zakres niezbędny w celu osiągnięcia celów programu</w:t>
      </w:r>
      <w:r w:rsidR="007926F5" w:rsidRPr="00767038">
        <w:rPr>
          <w:lang w:val="pl-PL"/>
        </w:rPr>
        <w:t>.</w:t>
      </w:r>
    </w:p>
    <w:p w:rsidR="009B7F14" w:rsidRPr="00767038" w:rsidRDefault="009B7F14">
      <w:pPr>
        <w:spacing w:before="0" w:after="160"/>
        <w:jc w:val="left"/>
        <w:rPr>
          <w:rFonts w:eastAsia="MS Mincho" w:cs="Arial"/>
          <w:color w:val="000000"/>
          <w:spacing w:val="-10"/>
          <w:kern w:val="28"/>
          <w:szCs w:val="20"/>
          <w:lang w:val="pl-PL"/>
        </w:rPr>
      </w:pPr>
      <w:bookmarkStart w:id="61" w:name="_Ref462301410"/>
      <w:bookmarkStart w:id="62" w:name="_Ref462301883"/>
      <w:bookmarkStart w:id="63" w:name="_Ref462302055"/>
      <w:bookmarkStart w:id="64" w:name="_Ref462300758"/>
      <w:r w:rsidRPr="00767038">
        <w:rPr>
          <w:szCs w:val="20"/>
          <w:lang w:val="pl-PL"/>
        </w:rPr>
        <w:br w:type="page"/>
      </w:r>
    </w:p>
    <w:p w:rsidR="00EA0104" w:rsidRPr="00767038" w:rsidRDefault="000274DD" w:rsidP="00177429">
      <w:pPr>
        <w:pStyle w:val="Nagwek1"/>
        <w:rPr>
          <w:lang w:val="pl-PL"/>
        </w:rPr>
      </w:pPr>
      <w:bookmarkStart w:id="65" w:name="_Toc505238513"/>
      <w:bookmarkEnd w:id="61"/>
      <w:bookmarkEnd w:id="62"/>
      <w:bookmarkEnd w:id="63"/>
      <w:bookmarkEnd w:id="64"/>
      <w:r w:rsidRPr="00767038">
        <w:rPr>
          <w:bCs/>
          <w:lang w:val="pl-PL"/>
        </w:rPr>
        <w:lastRenderedPageBreak/>
        <w:t>Faza realizacji</w:t>
      </w:r>
      <w:bookmarkEnd w:id="65"/>
    </w:p>
    <w:p w:rsidR="00EA0104" w:rsidRPr="00767038" w:rsidRDefault="000274DD" w:rsidP="00A0039A">
      <w:pPr>
        <w:pStyle w:val="Nagwek2"/>
        <w:rPr>
          <w:lang w:val="pl-PL"/>
        </w:rPr>
      </w:pPr>
      <w:bookmarkStart w:id="66" w:name="_Toc505238514"/>
      <w:r w:rsidRPr="00767038">
        <w:rPr>
          <w:iCs/>
          <w:lang w:val="pl-PL"/>
        </w:rPr>
        <w:t xml:space="preserve">Sprawozdawczość i płatności </w:t>
      </w:r>
      <w:r w:rsidR="00C364E4" w:rsidRPr="00767038">
        <w:rPr>
          <w:iCs/>
          <w:lang w:val="pl-PL"/>
        </w:rPr>
        <w:t>(</w:t>
      </w:r>
      <w:r w:rsidRPr="00767038">
        <w:rPr>
          <w:iCs/>
          <w:lang w:val="pl-PL"/>
        </w:rPr>
        <w:t>a</w:t>
      </w:r>
      <w:r w:rsidR="00C364E4" w:rsidRPr="00767038">
        <w:rPr>
          <w:iCs/>
          <w:lang w:val="pl-PL"/>
        </w:rPr>
        <w:t>rt. 9.1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C364E4" w:rsidRPr="00767038">
        <w:rPr>
          <w:iCs/>
          <w:lang w:val="pl-PL"/>
        </w:rPr>
        <w:t>)</w:t>
      </w:r>
      <w:bookmarkEnd w:id="66"/>
    </w:p>
    <w:p w:rsidR="005D0B75" w:rsidRPr="00767038" w:rsidRDefault="009E7DB5" w:rsidP="00376576">
      <w:pPr>
        <w:rPr>
          <w:lang w:val="pl-PL"/>
        </w:rPr>
      </w:pPr>
      <w:r w:rsidRPr="00767038">
        <w:rPr>
          <w:lang w:val="pl-PL"/>
        </w:rPr>
        <w:t xml:space="preserve">Płatności na </w:t>
      </w:r>
      <w:r w:rsidR="00B02359" w:rsidRPr="00767038">
        <w:rPr>
          <w:lang w:val="pl-PL"/>
        </w:rPr>
        <w:t xml:space="preserve">rzecz </w:t>
      </w:r>
      <w:r w:rsidRPr="00767038">
        <w:rPr>
          <w:lang w:val="pl-PL"/>
        </w:rPr>
        <w:t>program</w:t>
      </w:r>
      <w:r w:rsidR="00B02359" w:rsidRPr="00767038">
        <w:rPr>
          <w:lang w:val="pl-PL"/>
        </w:rPr>
        <w:t>ów</w:t>
      </w:r>
      <w:r w:rsidRPr="00767038">
        <w:rPr>
          <w:lang w:val="pl-PL"/>
        </w:rPr>
        <w:t xml:space="preserve"> mają formę zaliczek, płatności okresowych i płatności salda końcowego</w:t>
      </w:r>
      <w:r w:rsidR="005D0B75" w:rsidRPr="00767038">
        <w:rPr>
          <w:lang w:val="pl-PL"/>
        </w:rPr>
        <w:t>.</w:t>
      </w:r>
      <w:r w:rsidRPr="00767038">
        <w:rPr>
          <w:lang w:val="pl-PL"/>
        </w:rPr>
        <w:t xml:space="preserve"> Zgodnie z podstawową zasadą wnioski o płatności zalicz</w:t>
      </w:r>
      <w:r w:rsidR="00B02359" w:rsidRPr="00767038">
        <w:rPr>
          <w:lang w:val="pl-PL"/>
        </w:rPr>
        <w:t>kowe</w:t>
      </w:r>
      <w:r w:rsidRPr="00767038">
        <w:rPr>
          <w:lang w:val="pl-PL"/>
        </w:rPr>
        <w:t xml:space="preserve"> można składać w trakcie okresu realizacji w celu</w:t>
      </w:r>
      <w:r w:rsidR="00486649" w:rsidRPr="00767038">
        <w:rPr>
          <w:lang w:val="pl-PL"/>
        </w:rPr>
        <w:t xml:space="preserve"> </w:t>
      </w:r>
      <w:proofErr w:type="spellStart"/>
      <w:r w:rsidR="00B02359" w:rsidRPr="00767038">
        <w:rPr>
          <w:lang w:val="pl-PL"/>
        </w:rPr>
        <w:t>pre</w:t>
      </w:r>
      <w:proofErr w:type="spellEnd"/>
      <w:r w:rsidR="00B02359" w:rsidRPr="00767038">
        <w:rPr>
          <w:lang w:val="pl-PL"/>
        </w:rPr>
        <w:t>-</w:t>
      </w:r>
      <w:r w:rsidR="00486649" w:rsidRPr="00767038">
        <w:rPr>
          <w:lang w:val="pl-PL"/>
        </w:rPr>
        <w:t xml:space="preserve">finansowania szacunkowych </w:t>
      </w:r>
      <w:r w:rsidR="00B02359" w:rsidRPr="00767038">
        <w:rPr>
          <w:lang w:val="pl-PL"/>
        </w:rPr>
        <w:t xml:space="preserve">przyszłych </w:t>
      </w:r>
      <w:r w:rsidR="00486649" w:rsidRPr="00767038">
        <w:rPr>
          <w:lang w:val="pl-PL"/>
        </w:rPr>
        <w:t>wydatków</w:t>
      </w:r>
      <w:r w:rsidR="005D0B75" w:rsidRPr="00767038">
        <w:rPr>
          <w:lang w:val="pl-PL"/>
        </w:rPr>
        <w:t>.</w:t>
      </w:r>
      <w:r w:rsidR="00486649"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B02359" w:rsidRPr="00767038">
        <w:rPr>
          <w:lang w:val="pl-PL"/>
        </w:rPr>
        <w:t>zy</w:t>
      </w:r>
      <w:r w:rsidR="00315981" w:rsidRPr="00767038">
        <w:rPr>
          <w:lang w:val="pl-PL"/>
        </w:rPr>
        <w:t xml:space="preserve"> Program</w:t>
      </w:r>
      <w:r w:rsidR="00B02359" w:rsidRPr="00767038">
        <w:rPr>
          <w:lang w:val="pl-PL"/>
        </w:rPr>
        <w:t>ów</w:t>
      </w:r>
      <w:r w:rsidR="00486649" w:rsidRPr="00767038">
        <w:rPr>
          <w:lang w:val="pl-PL"/>
        </w:rPr>
        <w:t xml:space="preserve"> </w:t>
      </w:r>
      <w:r w:rsidR="00B02359" w:rsidRPr="00767038">
        <w:rPr>
          <w:lang w:val="pl-PL"/>
        </w:rPr>
        <w:t>są zobowiązani</w:t>
      </w:r>
      <w:r w:rsidR="00486649" w:rsidRPr="00767038">
        <w:rPr>
          <w:lang w:val="pl-PL"/>
        </w:rPr>
        <w:t xml:space="preserve"> jednocześnie </w:t>
      </w:r>
      <w:r w:rsidR="00B91E8E">
        <w:rPr>
          <w:lang w:val="pl-PL"/>
        </w:rPr>
        <w:t>d</w:t>
      </w:r>
      <w:r w:rsidR="00486649" w:rsidRPr="00767038">
        <w:rPr>
          <w:lang w:val="pl-PL"/>
        </w:rPr>
        <w:t xml:space="preserve">o </w:t>
      </w:r>
      <w:r w:rsidR="00B02359" w:rsidRPr="00767038">
        <w:rPr>
          <w:lang w:val="pl-PL"/>
        </w:rPr>
        <w:t>przes</w:t>
      </w:r>
      <w:r w:rsidR="00B91E8E">
        <w:rPr>
          <w:lang w:val="pl-PL"/>
        </w:rPr>
        <w:t>y</w:t>
      </w:r>
      <w:r w:rsidR="00B02359" w:rsidRPr="00767038">
        <w:rPr>
          <w:lang w:val="pl-PL"/>
        </w:rPr>
        <w:t>łani</w:t>
      </w:r>
      <w:r w:rsidR="00B91E8E">
        <w:rPr>
          <w:lang w:val="pl-PL"/>
        </w:rPr>
        <w:t>a</w:t>
      </w:r>
      <w:r w:rsidR="00486649" w:rsidRPr="00767038">
        <w:rPr>
          <w:lang w:val="pl-PL"/>
        </w:rPr>
        <w:t xml:space="preserve"> raportów z wykorzystania uprzednio otrzymanych środków finansowych na pokrycie wydatków rzeczywiście poniesionych w ramach programów</w:t>
      </w:r>
      <w:r w:rsidR="005D0B75" w:rsidRPr="00767038">
        <w:rPr>
          <w:lang w:val="pl-PL"/>
        </w:rPr>
        <w:t>.</w:t>
      </w:r>
    </w:p>
    <w:p w:rsidR="0000658E" w:rsidRPr="00767038" w:rsidRDefault="00486649" w:rsidP="00376576">
      <w:pPr>
        <w:rPr>
          <w:lang w:val="pl-PL"/>
        </w:rPr>
      </w:pPr>
      <w:r w:rsidRPr="00767038">
        <w:rPr>
          <w:lang w:val="pl-PL"/>
        </w:rPr>
        <w:t xml:space="preserve">Płatności na </w:t>
      </w:r>
      <w:r w:rsidR="00B02359" w:rsidRPr="00767038">
        <w:rPr>
          <w:lang w:val="pl-PL"/>
        </w:rPr>
        <w:t xml:space="preserve">rzecz </w:t>
      </w:r>
      <w:r w:rsidRPr="00767038">
        <w:rPr>
          <w:lang w:val="pl-PL"/>
        </w:rPr>
        <w:t>program</w:t>
      </w:r>
      <w:r w:rsidR="00B02359" w:rsidRPr="00767038">
        <w:rPr>
          <w:lang w:val="pl-PL"/>
        </w:rPr>
        <w:t>ów</w:t>
      </w:r>
      <w:r w:rsidRPr="00767038">
        <w:rPr>
          <w:lang w:val="pl-PL"/>
        </w:rPr>
        <w:t xml:space="preserve"> </w:t>
      </w:r>
      <w:r w:rsidR="00A35E94" w:rsidRPr="00767038">
        <w:rPr>
          <w:lang w:val="pl-PL"/>
        </w:rPr>
        <w:t>należy</w:t>
      </w:r>
      <w:r w:rsidRPr="00767038">
        <w:rPr>
          <w:lang w:val="pl-PL"/>
        </w:rPr>
        <w:t xml:space="preserve"> dokonywa</w:t>
      </w:r>
      <w:r w:rsidR="00B02359" w:rsidRPr="00767038">
        <w:rPr>
          <w:lang w:val="pl-PL"/>
        </w:rPr>
        <w:t>ć</w:t>
      </w:r>
      <w:r w:rsidRPr="00767038">
        <w:rPr>
          <w:lang w:val="pl-PL"/>
        </w:rPr>
        <w:t xml:space="preserve"> </w:t>
      </w:r>
      <w:r w:rsidR="00B02359" w:rsidRPr="00767038">
        <w:rPr>
          <w:lang w:val="pl-PL"/>
        </w:rPr>
        <w:t xml:space="preserve">po </w:t>
      </w:r>
      <w:r w:rsidR="00A35E94" w:rsidRPr="00767038">
        <w:rPr>
          <w:lang w:val="pl-PL"/>
        </w:rPr>
        <w:t>spełnieniu wszystkich</w:t>
      </w:r>
      <w:r w:rsidR="00B02359" w:rsidRPr="00767038">
        <w:rPr>
          <w:lang w:val="pl-PL"/>
        </w:rPr>
        <w:t xml:space="preserve"> istotnych</w:t>
      </w:r>
      <w:r w:rsidRPr="00767038">
        <w:rPr>
          <w:lang w:val="pl-PL"/>
        </w:rPr>
        <w:t xml:space="preserve"> warunków płatności określonych w </w:t>
      </w:r>
      <w:r w:rsidR="00A35E94" w:rsidRPr="00767038">
        <w:rPr>
          <w:lang w:val="pl-PL"/>
        </w:rPr>
        <w:t>Umow</w:t>
      </w:r>
      <w:r w:rsidR="008F375A">
        <w:rPr>
          <w:lang w:val="pl-PL"/>
        </w:rPr>
        <w:t>ie</w:t>
      </w:r>
      <w:r w:rsidR="00B02359" w:rsidRPr="00767038">
        <w:rPr>
          <w:lang w:val="pl-PL"/>
        </w:rPr>
        <w:t xml:space="preserve"> w sprawie programu</w:t>
      </w:r>
      <w:r w:rsidRPr="00767038">
        <w:rPr>
          <w:lang w:val="pl-PL"/>
        </w:rPr>
        <w:t xml:space="preserve"> i </w:t>
      </w:r>
      <w:r w:rsidR="00B02359" w:rsidRPr="00767038">
        <w:rPr>
          <w:lang w:val="pl-PL"/>
        </w:rPr>
        <w:t>Regulacjach</w:t>
      </w:r>
      <w:r w:rsidR="005D0B75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Płatności </w:t>
      </w:r>
      <w:r w:rsidR="00B02359" w:rsidRPr="00767038">
        <w:rPr>
          <w:lang w:val="pl-PL"/>
        </w:rPr>
        <w:t>w ramach</w:t>
      </w:r>
      <w:r w:rsidRPr="00767038">
        <w:rPr>
          <w:lang w:val="pl-PL"/>
        </w:rPr>
        <w:t xml:space="preserve"> program</w:t>
      </w:r>
      <w:r w:rsidR="00B02359" w:rsidRPr="00767038">
        <w:rPr>
          <w:lang w:val="pl-PL"/>
        </w:rPr>
        <w:t>ów</w:t>
      </w:r>
      <w:r w:rsidRPr="00767038">
        <w:rPr>
          <w:lang w:val="pl-PL"/>
        </w:rPr>
        <w:t xml:space="preserve"> </w:t>
      </w:r>
      <w:r w:rsidR="00B02359" w:rsidRPr="00767038">
        <w:rPr>
          <w:lang w:val="pl-PL"/>
        </w:rPr>
        <w:t>oblicza się stosując</w:t>
      </w:r>
      <w:r w:rsidRPr="00767038">
        <w:rPr>
          <w:lang w:val="pl-PL"/>
        </w:rPr>
        <w:t xml:space="preserve"> poziom współfinansowania określon</w:t>
      </w:r>
      <w:r w:rsidR="00B02359" w:rsidRPr="00767038">
        <w:rPr>
          <w:lang w:val="pl-PL"/>
        </w:rPr>
        <w:t>y</w:t>
      </w:r>
      <w:r w:rsidRPr="00767038">
        <w:rPr>
          <w:lang w:val="pl-PL"/>
        </w:rPr>
        <w:t xml:space="preserve"> w </w:t>
      </w:r>
      <w:r w:rsidR="00B02359" w:rsidRPr="00767038">
        <w:rPr>
          <w:lang w:val="pl-PL"/>
        </w:rPr>
        <w:t>Umowie w sprawie programu</w:t>
      </w:r>
      <w:r w:rsidR="005D0B75" w:rsidRPr="00767038">
        <w:rPr>
          <w:vertAlign w:val="superscript"/>
          <w:lang w:val="pl-PL"/>
        </w:rPr>
        <w:footnoteReference w:id="10"/>
      </w:r>
      <w:r w:rsidR="005D0B75" w:rsidRPr="00767038">
        <w:rPr>
          <w:lang w:val="pl-PL"/>
        </w:rPr>
        <w:t xml:space="preserve">. </w:t>
      </w:r>
      <w:r w:rsidR="00B02359" w:rsidRPr="00767038">
        <w:rPr>
          <w:lang w:val="pl-PL"/>
        </w:rPr>
        <w:t>Obowiązuje</w:t>
      </w:r>
      <w:r w:rsidRPr="00767038">
        <w:rPr>
          <w:lang w:val="pl-PL"/>
        </w:rPr>
        <w:t xml:space="preserve"> zasada </w:t>
      </w:r>
      <w:r w:rsidR="00B02359" w:rsidRPr="00767038">
        <w:rPr>
          <w:lang w:val="pl-PL"/>
        </w:rPr>
        <w:t xml:space="preserve">proporcjonalnego </w:t>
      </w:r>
      <w:r w:rsidRPr="00767038">
        <w:rPr>
          <w:lang w:val="pl-PL"/>
        </w:rPr>
        <w:t xml:space="preserve">finansowania (pro rata), </w:t>
      </w:r>
      <w:r w:rsidR="00B02359" w:rsidRPr="00767038">
        <w:rPr>
          <w:lang w:val="pl-PL"/>
        </w:rPr>
        <w:t>co</w:t>
      </w:r>
      <w:r w:rsidRPr="00767038">
        <w:rPr>
          <w:lang w:val="pl-PL"/>
        </w:rPr>
        <w:t xml:space="preserve"> oznacza, że </w:t>
      </w:r>
      <w:r w:rsidR="00B02359" w:rsidRPr="00767038">
        <w:rPr>
          <w:lang w:val="pl-PL"/>
        </w:rPr>
        <w:t xml:space="preserve">współfinansowanie przekazywane </w:t>
      </w:r>
      <w:r w:rsidR="00C87791" w:rsidRPr="00767038">
        <w:rPr>
          <w:lang w:val="pl-PL"/>
        </w:rPr>
        <w:t>przez podmiot lub podmioty za nie odpowiedzialne jest wypłacone</w:t>
      </w:r>
      <w:r w:rsidRPr="00767038">
        <w:rPr>
          <w:lang w:val="pl-PL"/>
        </w:rPr>
        <w:t xml:space="preserve"> w </w:t>
      </w:r>
      <w:r w:rsidR="00A35E94" w:rsidRPr="00767038">
        <w:rPr>
          <w:lang w:val="pl-PL"/>
        </w:rPr>
        <w:t>ciągu miesiąca</w:t>
      </w:r>
      <w:r w:rsidRPr="00767038">
        <w:rPr>
          <w:lang w:val="pl-PL"/>
        </w:rPr>
        <w:t xml:space="preserve"> </w:t>
      </w:r>
      <w:r w:rsidR="00C87791" w:rsidRPr="00767038">
        <w:rPr>
          <w:lang w:val="pl-PL"/>
        </w:rPr>
        <w:t>od przekazania dofinansowania na rzecz programu przez BMF</w:t>
      </w:r>
      <w:r w:rsidR="005D0B75" w:rsidRPr="00767038">
        <w:rPr>
          <w:lang w:val="pl-PL"/>
        </w:rPr>
        <w:t xml:space="preserve">. </w:t>
      </w:r>
    </w:p>
    <w:p w:rsidR="000230A5" w:rsidRPr="00767038" w:rsidRDefault="00C87791" w:rsidP="00376576">
      <w:pPr>
        <w:rPr>
          <w:lang w:val="pl-PL"/>
        </w:rPr>
      </w:pPr>
      <w:r w:rsidRPr="00767038">
        <w:rPr>
          <w:lang w:val="pl-PL"/>
        </w:rPr>
        <w:t>BMF może zatrzymać d</w:t>
      </w:r>
      <w:r w:rsidR="00A3364E" w:rsidRPr="00767038">
        <w:rPr>
          <w:lang w:val="pl-PL"/>
        </w:rPr>
        <w:t xml:space="preserve">o 10% alokacji </w:t>
      </w:r>
      <w:r w:rsidRPr="00767038">
        <w:rPr>
          <w:lang w:val="pl-PL"/>
        </w:rPr>
        <w:t xml:space="preserve">na </w:t>
      </w:r>
      <w:r w:rsidR="00A3364E" w:rsidRPr="00767038">
        <w:rPr>
          <w:lang w:val="pl-PL"/>
        </w:rPr>
        <w:t>koszt</w:t>
      </w:r>
      <w:r w:rsidRPr="00767038">
        <w:rPr>
          <w:lang w:val="pl-PL"/>
        </w:rPr>
        <w:t>y</w:t>
      </w:r>
      <w:r w:rsidR="00A3364E" w:rsidRPr="00767038">
        <w:rPr>
          <w:lang w:val="pl-PL"/>
        </w:rPr>
        <w:t xml:space="preserve"> zarządzania na </w:t>
      </w:r>
      <w:r w:rsidRPr="00767038">
        <w:rPr>
          <w:lang w:val="pl-PL"/>
        </w:rPr>
        <w:t xml:space="preserve">rzecz </w:t>
      </w:r>
      <w:r w:rsidR="00A3364E" w:rsidRPr="00767038">
        <w:rPr>
          <w:lang w:val="pl-PL"/>
        </w:rPr>
        <w:t>program</w:t>
      </w:r>
      <w:r w:rsidRPr="00767038">
        <w:rPr>
          <w:lang w:val="pl-PL"/>
        </w:rPr>
        <w:t>u,</w:t>
      </w:r>
      <w:r w:rsidR="00A3364E" w:rsidRPr="00767038">
        <w:rPr>
          <w:lang w:val="pl-PL"/>
        </w:rPr>
        <w:t xml:space="preserve"> do czasu zatwierdzenia R</w:t>
      </w:r>
      <w:r w:rsidRPr="00767038">
        <w:rPr>
          <w:lang w:val="pl-PL"/>
        </w:rPr>
        <w:t>aportu końcowego dla programu</w:t>
      </w:r>
      <w:r w:rsidR="005D0B75" w:rsidRPr="00767038">
        <w:rPr>
          <w:lang w:val="pl-PL"/>
        </w:rPr>
        <w:t>.</w:t>
      </w:r>
      <w:r w:rsidR="00A3364E" w:rsidRPr="00767038">
        <w:rPr>
          <w:lang w:val="pl-PL"/>
        </w:rPr>
        <w:t xml:space="preserve"> Kwota 10% zatrzymanych kosztów zostanie wyliczona z całkowitej alokacji kosztów zarządzania, a nie z proponowanych kosztów zarządzania w ramach każdego FRO</w:t>
      </w:r>
      <w:r w:rsidR="00265F1A" w:rsidRPr="00767038">
        <w:rPr>
          <w:lang w:val="pl-PL"/>
        </w:rPr>
        <w:t>.</w:t>
      </w:r>
    </w:p>
    <w:p w:rsidR="005D0B75" w:rsidRPr="00767038" w:rsidRDefault="00FB2938" w:rsidP="00376576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419B4D" wp14:editId="52EFA76C">
                <wp:simplePos x="0" y="0"/>
                <wp:positionH relativeFrom="column">
                  <wp:posOffset>-9525</wp:posOffset>
                </wp:positionH>
                <wp:positionV relativeFrom="paragraph">
                  <wp:posOffset>638810</wp:posOffset>
                </wp:positionV>
                <wp:extent cx="5648325" cy="214312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A3364E" w:rsidRDefault="00C522D7" w:rsidP="00222112">
                            <w:pPr>
                              <w:rPr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b/>
                                <w:bCs/>
                                <w:sz w:val="16"/>
                                <w:szCs w:val="18"/>
                                <w:lang w:val="pl-PL"/>
                              </w:rPr>
                              <w:t>Przykład:</w:t>
                            </w:r>
                          </w:p>
                          <w:p w:rsidR="00C522D7" w:rsidRPr="00A3364E" w:rsidRDefault="00C522D7" w:rsidP="00AA6295">
                            <w:pPr>
                              <w:pStyle w:val="Legenda"/>
                              <w:keepNext/>
                              <w:rPr>
                                <w:sz w:val="16"/>
                                <w:lang w:val="pl-PL"/>
                              </w:rPr>
                            </w:pPr>
                            <w:bookmarkStart w:id="67" w:name="_Toc486413516"/>
                            <w:bookmarkStart w:id="68" w:name="Fifth_table"/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t xml:space="preserve">Tabela </w:t>
                            </w:r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fldChar w:fldCharType="begin"/>
                            </w:r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instrText xml:space="preserve"> SEQ Table \* ARABIC </w:instrText>
                            </w:r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fldChar w:fldCharType="separate"/>
                            </w:r>
                            <w:r>
                              <w:rPr>
                                <w:iCs/>
                                <w:noProof/>
                                <w:sz w:val="16"/>
                                <w:lang w:val="pl-PL"/>
                              </w:rPr>
                              <w:t>5</w:t>
                            </w:r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fldChar w:fldCharType="end"/>
                            </w:r>
                            <w:r>
                              <w:rPr>
                                <w:iCs/>
                                <w:sz w:val="16"/>
                                <w:lang w:val="pl-PL"/>
                              </w:rPr>
                              <w:t>.</w:t>
                            </w:r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16"/>
                                <w:lang w:val="pl-PL"/>
                              </w:rPr>
                              <w:t>A</w:t>
                            </w:r>
                            <w:r w:rsidRPr="00A3364E">
                              <w:rPr>
                                <w:iCs/>
                                <w:sz w:val="16"/>
                                <w:lang w:val="pl-PL"/>
                              </w:rPr>
                              <w:t>lokacja kosztów zarządzania</w:t>
                            </w:r>
                            <w:bookmarkEnd w:id="67"/>
                          </w:p>
                          <w:tbl>
                            <w:tblPr>
                              <w:tblStyle w:val="Tabela-Siatka"/>
                              <w:tblW w:w="494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3"/>
                              <w:gridCol w:w="1795"/>
                              <w:gridCol w:w="1970"/>
                              <w:gridCol w:w="1571"/>
                            </w:tblGrid>
                            <w:tr w:rsidR="00C522D7" w:rsidRPr="00A3364E" w:rsidTr="00AA629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454"/>
                              </w:trPr>
                              <w:tc>
                                <w:tcPr>
                                  <w:tcW w:w="2034" w:type="pct"/>
                                  <w:vAlign w:val="center"/>
                                </w:tcPr>
                                <w:bookmarkEnd w:id="68"/>
                                <w:p w:rsidR="00C522D7" w:rsidRPr="00A3364E" w:rsidRDefault="00C522D7" w:rsidP="006C11C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 w:val="0"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bCs/>
                                      <w:sz w:val="16"/>
                                      <w:szCs w:val="18"/>
                                      <w:lang w:val="pl-PL"/>
                                    </w:rPr>
                                    <w:t>Nagłówek budżetu</w:t>
                                  </w:r>
                                </w:p>
                              </w:tc>
                              <w:tc>
                                <w:tcPr>
                                  <w:tcW w:w="1118" w:type="pct"/>
                                  <w:vAlign w:val="center"/>
                                </w:tcPr>
                                <w:p w:rsidR="00C522D7" w:rsidRPr="00A3364E" w:rsidRDefault="00C522D7" w:rsidP="006C11C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 w:val="0"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bCs/>
                                      <w:sz w:val="16"/>
                                      <w:szCs w:val="18"/>
                                      <w:lang w:val="pl-PL"/>
                                    </w:rPr>
                                    <w:t>EOG</w:t>
                                  </w:r>
                                </w:p>
                              </w:tc>
                              <w:tc>
                                <w:tcPr>
                                  <w:tcW w:w="858" w:type="pct"/>
                                  <w:vAlign w:val="center"/>
                                </w:tcPr>
                                <w:p w:rsidR="00C522D7" w:rsidRPr="00A3364E" w:rsidRDefault="00C522D7" w:rsidP="006C11C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 w:val="0"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8"/>
                                      <w:lang w:val="pl-PL"/>
                                    </w:rPr>
                                    <w:t>Współfinansowanie</w:t>
                                  </w:r>
                                </w:p>
                              </w:tc>
                              <w:tc>
                                <w:tcPr>
                                  <w:tcW w:w="990" w:type="pct"/>
                                  <w:vAlign w:val="center"/>
                                </w:tcPr>
                                <w:p w:rsidR="00C522D7" w:rsidRPr="00A3364E" w:rsidRDefault="00C522D7" w:rsidP="006C11C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 w:val="0"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bCs/>
                                      <w:sz w:val="16"/>
                                      <w:szCs w:val="18"/>
                                      <w:lang w:val="pl-PL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C522D7" w:rsidRPr="00A3364E" w:rsidTr="00AA629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034" w:type="pct"/>
                                  <w:vAlign w:val="center"/>
                                </w:tcPr>
                                <w:p w:rsidR="00C522D7" w:rsidRPr="00A3364E" w:rsidRDefault="00C522D7" w:rsidP="006C11C9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b/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  <w:t>Zarządzanie programem</w:t>
                                  </w:r>
                                </w:p>
                              </w:tc>
                              <w:tc>
                                <w:tcPr>
                                  <w:tcW w:w="1118" w:type="pct"/>
                                  <w:vAlign w:val="center"/>
                                </w:tcPr>
                                <w:p w:rsidR="00C522D7" w:rsidRPr="00A3364E" w:rsidRDefault="00C522D7" w:rsidP="00DF4357">
                                  <w:pPr>
                                    <w:spacing w:after="160" w:line="259" w:lineRule="auto"/>
                                    <w:jc w:val="right"/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  <w:t>€ 850,000</w:t>
                                  </w:r>
                                </w:p>
                              </w:tc>
                              <w:tc>
                                <w:tcPr>
                                  <w:tcW w:w="858" w:type="pct"/>
                                  <w:vAlign w:val="center"/>
                                </w:tcPr>
                                <w:p w:rsidR="00C522D7" w:rsidRPr="00A3364E" w:rsidRDefault="00C522D7" w:rsidP="00DF4357">
                                  <w:pPr>
                                    <w:spacing w:after="160" w:line="360" w:lineRule="auto"/>
                                    <w:jc w:val="right"/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  <w:t>€ 150,000</w:t>
                                  </w:r>
                                </w:p>
                              </w:tc>
                              <w:tc>
                                <w:tcPr>
                                  <w:tcW w:w="990" w:type="pct"/>
                                  <w:vAlign w:val="center"/>
                                </w:tcPr>
                                <w:p w:rsidR="00C522D7" w:rsidRPr="00A3364E" w:rsidRDefault="00C522D7" w:rsidP="00DF4357">
                                  <w:pPr>
                                    <w:spacing w:after="160" w:line="259" w:lineRule="auto"/>
                                    <w:jc w:val="right"/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</w:pPr>
                                  <w:r w:rsidRPr="00A3364E">
                                    <w:rPr>
                                      <w:sz w:val="16"/>
                                      <w:szCs w:val="18"/>
                                      <w:lang w:val="pl-PL"/>
                                    </w:rPr>
                                    <w:t>€ 1,000,000</w:t>
                                  </w:r>
                                </w:p>
                              </w:tc>
                            </w:tr>
                          </w:tbl>
                          <w:p w:rsidR="00C522D7" w:rsidRPr="00A3364E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Współfinansowanie dla tego programu jest równe 15%.</w:t>
                            </w:r>
                          </w:p>
                          <w:p w:rsidR="00C522D7" w:rsidRPr="00A3364E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Kwota zatrzymana 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do 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salda końcowego 10%: 100.000 euro.</w:t>
                            </w:r>
                          </w:p>
                          <w:p w:rsidR="00C522D7" w:rsidRPr="00A3364E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Do czasu zatwierdzenia 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R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aportu końcowego dla programu płatności na program na pokrycie kosztów zarządzania programem są ograniczone do kwoty 900.000 euro.</w:t>
                            </w:r>
                          </w:p>
                          <w:p w:rsidR="00C522D7" w:rsidRPr="00A3364E" w:rsidRDefault="00C522D7" w:rsidP="0076703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Kwoty odpowiadającej 10% kosztów zatrzymanych nie 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wlicza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 się d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o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 płatności zaliczk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owej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oraz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 płatności okresow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ych w ramach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 xml:space="preserve"> program</w:t>
                            </w:r>
                            <w:r>
                              <w:rPr>
                                <w:sz w:val="16"/>
                                <w:szCs w:val="18"/>
                                <w:lang w:val="pl-PL"/>
                              </w:rPr>
                              <w:t>u</w:t>
                            </w: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265F1A" w:rsidRDefault="00C522D7">
                            <w:pPr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.75pt;margin-top:50.3pt;width:444.75pt;height:16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69JwIAAE4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">
                <v:textbox>
                  <w:txbxContent>
                    <w:p w:rsidR="00C522D7" w:rsidRPr="00A3364E" w:rsidRDefault="00C522D7" w:rsidP="00222112">
                      <w:pPr>
                        <w:rPr>
                          <w:b/>
                          <w:sz w:val="16"/>
                          <w:szCs w:val="18"/>
                          <w:lang w:val="pl-PL"/>
                        </w:rPr>
                      </w:pPr>
                      <w:r w:rsidRPr="00A3364E">
                        <w:rPr>
                          <w:b/>
                          <w:bCs/>
                          <w:sz w:val="16"/>
                          <w:szCs w:val="18"/>
                          <w:lang w:val="pl-PL"/>
                        </w:rPr>
                        <w:t>Przykład:</w:t>
                      </w:r>
                    </w:p>
                    <w:p w:rsidR="00C522D7" w:rsidRPr="00A3364E" w:rsidRDefault="00C522D7" w:rsidP="00AA6295">
                      <w:pPr>
                        <w:pStyle w:val="Legenda"/>
                        <w:keepNext/>
                        <w:rPr>
                          <w:sz w:val="16"/>
                          <w:lang w:val="pl-PL"/>
                        </w:rPr>
                      </w:pPr>
                      <w:bookmarkStart w:id="69" w:name="_Toc486413516"/>
                      <w:bookmarkStart w:id="70" w:name="Fifth_table"/>
                      <w:r w:rsidRPr="00A3364E">
                        <w:rPr>
                          <w:iCs/>
                          <w:sz w:val="16"/>
                          <w:lang w:val="pl-PL"/>
                        </w:rPr>
                        <w:t xml:space="preserve">Tabela </w:t>
                      </w:r>
                      <w:r w:rsidRPr="00A3364E">
                        <w:rPr>
                          <w:iCs/>
                          <w:sz w:val="16"/>
                          <w:lang w:val="pl-PL"/>
                        </w:rPr>
                        <w:fldChar w:fldCharType="begin"/>
                      </w:r>
                      <w:r w:rsidRPr="00A3364E">
                        <w:rPr>
                          <w:iCs/>
                          <w:sz w:val="16"/>
                          <w:lang w:val="pl-PL"/>
                        </w:rPr>
                        <w:instrText xml:space="preserve"> SEQ Table \* ARABIC </w:instrText>
                      </w:r>
                      <w:r w:rsidRPr="00A3364E">
                        <w:rPr>
                          <w:iCs/>
                          <w:sz w:val="16"/>
                          <w:lang w:val="pl-PL"/>
                        </w:rPr>
                        <w:fldChar w:fldCharType="separate"/>
                      </w:r>
                      <w:r>
                        <w:rPr>
                          <w:iCs/>
                          <w:noProof/>
                          <w:sz w:val="16"/>
                          <w:lang w:val="pl-PL"/>
                        </w:rPr>
                        <w:t>5</w:t>
                      </w:r>
                      <w:r w:rsidRPr="00A3364E">
                        <w:rPr>
                          <w:iCs/>
                          <w:sz w:val="16"/>
                          <w:lang w:val="pl-PL"/>
                        </w:rPr>
                        <w:fldChar w:fldCharType="end"/>
                      </w:r>
                      <w:r>
                        <w:rPr>
                          <w:iCs/>
                          <w:sz w:val="16"/>
                          <w:lang w:val="pl-PL"/>
                        </w:rPr>
                        <w:t>.</w:t>
                      </w:r>
                      <w:r w:rsidRPr="00A3364E">
                        <w:rPr>
                          <w:iCs/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iCs/>
                          <w:sz w:val="16"/>
                          <w:lang w:val="pl-PL"/>
                        </w:rPr>
                        <w:t>A</w:t>
                      </w:r>
                      <w:r w:rsidRPr="00A3364E">
                        <w:rPr>
                          <w:iCs/>
                          <w:sz w:val="16"/>
                          <w:lang w:val="pl-PL"/>
                        </w:rPr>
                        <w:t>lokacja kosztów zarządzania</w:t>
                      </w:r>
                      <w:bookmarkEnd w:id="69"/>
                    </w:p>
                    <w:tbl>
                      <w:tblPr>
                        <w:tblStyle w:val="Tabela-Siatka"/>
                        <w:tblW w:w="4946" w:type="pct"/>
                        <w:tblLook w:val="04A0" w:firstRow="1" w:lastRow="0" w:firstColumn="1" w:lastColumn="0" w:noHBand="0" w:noVBand="1"/>
                      </w:tblPr>
                      <w:tblGrid>
                        <w:gridCol w:w="3393"/>
                        <w:gridCol w:w="1795"/>
                        <w:gridCol w:w="1970"/>
                        <w:gridCol w:w="1571"/>
                      </w:tblGrid>
                      <w:tr w:rsidR="00C522D7" w:rsidRPr="00A3364E" w:rsidTr="00AA629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454"/>
                        </w:trPr>
                        <w:tc>
                          <w:tcPr>
                            <w:tcW w:w="2034" w:type="pct"/>
                            <w:vAlign w:val="center"/>
                          </w:tcPr>
                          <w:bookmarkEnd w:id="70"/>
                          <w:p w:rsidR="00C522D7" w:rsidRPr="00A3364E" w:rsidRDefault="00C522D7" w:rsidP="006C11C9">
                            <w:pPr>
                              <w:spacing w:after="160" w:line="259" w:lineRule="auto"/>
                              <w:jc w:val="center"/>
                              <w:rPr>
                                <w:b w:val="0"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bCs/>
                                <w:sz w:val="16"/>
                                <w:szCs w:val="18"/>
                                <w:lang w:val="pl-PL"/>
                              </w:rPr>
                              <w:t>Nagłówek budżetu</w:t>
                            </w:r>
                          </w:p>
                        </w:tc>
                        <w:tc>
                          <w:tcPr>
                            <w:tcW w:w="1118" w:type="pct"/>
                            <w:vAlign w:val="center"/>
                          </w:tcPr>
                          <w:p w:rsidR="00C522D7" w:rsidRPr="00A3364E" w:rsidRDefault="00C522D7" w:rsidP="006C11C9">
                            <w:pPr>
                              <w:spacing w:after="160" w:line="259" w:lineRule="auto"/>
                              <w:jc w:val="center"/>
                              <w:rPr>
                                <w:b w:val="0"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bCs/>
                                <w:sz w:val="16"/>
                                <w:szCs w:val="18"/>
                                <w:lang w:val="pl-PL"/>
                              </w:rPr>
                              <w:t>EOG</w:t>
                            </w:r>
                          </w:p>
                        </w:tc>
                        <w:tc>
                          <w:tcPr>
                            <w:tcW w:w="858" w:type="pct"/>
                            <w:vAlign w:val="center"/>
                          </w:tcPr>
                          <w:p w:rsidR="00C522D7" w:rsidRPr="00A3364E" w:rsidRDefault="00C522D7" w:rsidP="006C11C9">
                            <w:pPr>
                              <w:spacing w:after="160" w:line="259" w:lineRule="auto"/>
                              <w:jc w:val="center"/>
                              <w:rPr>
                                <w:b w:val="0"/>
                                <w:sz w:val="16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8"/>
                                <w:lang w:val="pl-PL"/>
                              </w:rPr>
                              <w:t>Współfinansowanie</w:t>
                            </w:r>
                          </w:p>
                        </w:tc>
                        <w:tc>
                          <w:tcPr>
                            <w:tcW w:w="990" w:type="pct"/>
                            <w:vAlign w:val="center"/>
                          </w:tcPr>
                          <w:p w:rsidR="00C522D7" w:rsidRPr="00A3364E" w:rsidRDefault="00C522D7" w:rsidP="006C11C9">
                            <w:pPr>
                              <w:spacing w:after="160" w:line="259" w:lineRule="auto"/>
                              <w:jc w:val="center"/>
                              <w:rPr>
                                <w:b w:val="0"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bCs/>
                                <w:sz w:val="16"/>
                                <w:szCs w:val="18"/>
                                <w:lang w:val="pl-PL"/>
                              </w:rPr>
                              <w:t>Razem</w:t>
                            </w:r>
                          </w:p>
                        </w:tc>
                      </w:tr>
                      <w:tr w:rsidR="00C522D7" w:rsidRPr="00A3364E" w:rsidTr="00AA6295">
                        <w:trPr>
                          <w:trHeight w:hRule="exact" w:val="454"/>
                        </w:trPr>
                        <w:tc>
                          <w:tcPr>
                            <w:tcW w:w="2034" w:type="pct"/>
                            <w:vAlign w:val="center"/>
                          </w:tcPr>
                          <w:p w:rsidR="00C522D7" w:rsidRPr="00A3364E" w:rsidRDefault="00C522D7" w:rsidP="006C11C9">
                            <w:pPr>
                              <w:spacing w:after="160" w:line="259" w:lineRule="auto"/>
                              <w:jc w:val="left"/>
                              <w:rPr>
                                <w:b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Zarządzanie programem</w:t>
                            </w:r>
                          </w:p>
                        </w:tc>
                        <w:tc>
                          <w:tcPr>
                            <w:tcW w:w="1118" w:type="pct"/>
                            <w:vAlign w:val="center"/>
                          </w:tcPr>
                          <w:p w:rsidR="00C522D7" w:rsidRPr="00A3364E" w:rsidRDefault="00C522D7" w:rsidP="00DF4357">
                            <w:pPr>
                              <w:spacing w:after="160" w:line="259" w:lineRule="auto"/>
                              <w:jc w:val="right"/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€ 850,000</w:t>
                            </w:r>
                          </w:p>
                        </w:tc>
                        <w:tc>
                          <w:tcPr>
                            <w:tcW w:w="858" w:type="pct"/>
                            <w:vAlign w:val="center"/>
                          </w:tcPr>
                          <w:p w:rsidR="00C522D7" w:rsidRPr="00A3364E" w:rsidRDefault="00C522D7" w:rsidP="00DF4357">
                            <w:pPr>
                              <w:spacing w:after="160" w:line="360" w:lineRule="auto"/>
                              <w:jc w:val="right"/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€ 150,000</w:t>
                            </w:r>
                          </w:p>
                        </w:tc>
                        <w:tc>
                          <w:tcPr>
                            <w:tcW w:w="990" w:type="pct"/>
                            <w:vAlign w:val="center"/>
                          </w:tcPr>
                          <w:p w:rsidR="00C522D7" w:rsidRPr="00A3364E" w:rsidRDefault="00C522D7" w:rsidP="00DF4357">
                            <w:pPr>
                              <w:spacing w:after="160" w:line="259" w:lineRule="auto"/>
                              <w:jc w:val="right"/>
                              <w:rPr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A3364E">
                              <w:rPr>
                                <w:sz w:val="16"/>
                                <w:szCs w:val="18"/>
                                <w:lang w:val="pl-PL"/>
                              </w:rPr>
                              <w:t>€ 1,000,000</w:t>
                            </w:r>
                          </w:p>
                        </w:tc>
                      </w:tr>
                    </w:tbl>
                    <w:p w:rsidR="00C522D7" w:rsidRPr="00A3364E" w:rsidRDefault="00C522D7" w:rsidP="0076703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6"/>
                          <w:szCs w:val="18"/>
                          <w:lang w:val="pl-PL"/>
                        </w:rPr>
                      </w:pP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>Współfinansowanie dla tego programu jest równe 15%.</w:t>
                      </w:r>
                    </w:p>
                    <w:p w:rsidR="00C522D7" w:rsidRPr="00A3364E" w:rsidRDefault="00C522D7" w:rsidP="0076703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6"/>
                          <w:szCs w:val="18"/>
                          <w:lang w:val="pl-PL"/>
                        </w:rPr>
                      </w:pP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Kwota zatrzymana 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 xml:space="preserve">do 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>salda końcowego 10%: 100.000 euro.</w:t>
                      </w:r>
                    </w:p>
                    <w:p w:rsidR="00C522D7" w:rsidRPr="00A3364E" w:rsidRDefault="00C522D7" w:rsidP="0076703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6"/>
                          <w:szCs w:val="18"/>
                          <w:lang w:val="pl-PL"/>
                        </w:rPr>
                      </w:pP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Do czasu zatwierdzenia 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R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>aportu końcowego dla programu płatności na program na pokrycie kosztów zarządzania programem są ograniczone do kwoty 900.000 euro.</w:t>
                      </w:r>
                    </w:p>
                    <w:p w:rsidR="00C522D7" w:rsidRPr="00A3364E" w:rsidRDefault="00C522D7" w:rsidP="0076703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6"/>
                          <w:szCs w:val="18"/>
                          <w:lang w:val="pl-PL"/>
                        </w:rPr>
                      </w:pP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Kwoty odpowiadającej 10% kosztów zatrzymanych nie 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wlicza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 się d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o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 płatności zaliczk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owej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oraz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 płatności okresow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ych w ramach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 xml:space="preserve"> program</w:t>
                      </w:r>
                      <w:r>
                        <w:rPr>
                          <w:sz w:val="16"/>
                          <w:szCs w:val="18"/>
                          <w:lang w:val="pl-PL"/>
                        </w:rPr>
                        <w:t>u</w:t>
                      </w:r>
                      <w:r w:rsidRPr="00A3364E">
                        <w:rPr>
                          <w:sz w:val="16"/>
                          <w:szCs w:val="18"/>
                          <w:lang w:val="pl-PL"/>
                        </w:rPr>
                        <w:t>.</w:t>
                      </w:r>
                    </w:p>
                    <w:p w:rsidR="00C522D7" w:rsidRPr="00265F1A" w:rsidRDefault="00C522D7">
                      <w:pPr>
                        <w:rPr>
                          <w:sz w:val="16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64E" w:rsidRPr="00767038">
        <w:rPr>
          <w:lang w:val="pl-PL"/>
        </w:rPr>
        <w:t xml:space="preserve">Płatności </w:t>
      </w:r>
      <w:r w:rsidR="00C87791" w:rsidRPr="00767038">
        <w:rPr>
          <w:lang w:val="pl-PL"/>
        </w:rPr>
        <w:t xml:space="preserve">z </w:t>
      </w:r>
      <w:r w:rsidR="00A3364E" w:rsidRPr="00767038">
        <w:rPr>
          <w:lang w:val="pl-PL"/>
        </w:rPr>
        <w:t xml:space="preserve">BMF na rzecz </w:t>
      </w:r>
      <w:r w:rsidR="00C87791" w:rsidRPr="00767038">
        <w:rPr>
          <w:lang w:val="pl-PL"/>
        </w:rPr>
        <w:t>podmiotów w Państwach-Beneficjentach</w:t>
      </w:r>
      <w:r w:rsidR="00A3364E" w:rsidRPr="00767038">
        <w:rPr>
          <w:lang w:val="pl-PL"/>
        </w:rPr>
        <w:t xml:space="preserve"> będą denominowane i dokonywane w euro</w:t>
      </w:r>
      <w:r w:rsidR="00AA6295" w:rsidRPr="00767038">
        <w:rPr>
          <w:lang w:val="pl-PL"/>
        </w:rPr>
        <w:t>.</w:t>
      </w:r>
      <w:r w:rsidR="00A3364E" w:rsidRPr="00767038">
        <w:rPr>
          <w:lang w:val="pl-PL"/>
        </w:rPr>
        <w:t xml:space="preserve"> Płatności </w:t>
      </w:r>
      <w:r w:rsidR="00C87791" w:rsidRPr="00767038">
        <w:rPr>
          <w:lang w:val="pl-PL"/>
        </w:rPr>
        <w:t xml:space="preserve">otrzymywane z </w:t>
      </w:r>
      <w:r w:rsidR="00A3364E" w:rsidRPr="00767038">
        <w:rPr>
          <w:lang w:val="pl-PL"/>
        </w:rPr>
        <w:t xml:space="preserve">BMF </w:t>
      </w:r>
      <w:r w:rsidR="00C87791" w:rsidRPr="00767038">
        <w:rPr>
          <w:lang w:val="pl-PL"/>
        </w:rPr>
        <w:t>będą dostępne dla</w:t>
      </w:r>
      <w:r w:rsidR="00A3364E"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C87791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A3364E" w:rsidRPr="00767038">
        <w:rPr>
          <w:lang w:val="pl-PL"/>
        </w:rPr>
        <w:t xml:space="preserve"> w </w:t>
      </w:r>
      <w:r w:rsidR="00C87791" w:rsidRPr="00767038">
        <w:rPr>
          <w:lang w:val="pl-PL"/>
        </w:rPr>
        <w:t>terminie</w:t>
      </w:r>
      <w:r w:rsidR="00A3364E" w:rsidRPr="00767038">
        <w:rPr>
          <w:lang w:val="pl-PL"/>
        </w:rPr>
        <w:t xml:space="preserve"> 15 dni roboczych</w:t>
      </w:r>
      <w:r w:rsidR="00AA6295" w:rsidRPr="00767038">
        <w:rPr>
          <w:rStyle w:val="Odwoanieprzypisudolnego"/>
          <w:lang w:val="pl-PL"/>
        </w:rPr>
        <w:footnoteReference w:id="11"/>
      </w:r>
      <w:r w:rsidR="00A3364E" w:rsidRPr="00767038">
        <w:rPr>
          <w:lang w:val="pl-PL"/>
        </w:rPr>
        <w:t>.</w:t>
      </w:r>
    </w:p>
    <w:p w:rsidR="007C79FB" w:rsidRPr="00767038" w:rsidRDefault="00A3364E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 xml:space="preserve">Model </w:t>
      </w:r>
      <w:proofErr w:type="spellStart"/>
      <w:r w:rsidR="00C87791" w:rsidRPr="00767038">
        <w:rPr>
          <w:lang w:val="pl-PL"/>
        </w:rPr>
        <w:t>pre</w:t>
      </w:r>
      <w:proofErr w:type="spellEnd"/>
      <w:r w:rsidR="00C87791" w:rsidRPr="00767038">
        <w:rPr>
          <w:lang w:val="pl-PL"/>
        </w:rPr>
        <w:t>-</w:t>
      </w:r>
      <w:r w:rsidRPr="00767038">
        <w:rPr>
          <w:lang w:val="pl-PL"/>
        </w:rPr>
        <w:t>finansowania na poziomie programu</w:t>
      </w:r>
    </w:p>
    <w:p w:rsidR="007C79FB" w:rsidRPr="00767038" w:rsidRDefault="00120F81" w:rsidP="00376576">
      <w:pPr>
        <w:rPr>
          <w:lang w:val="pl-PL"/>
        </w:rPr>
      </w:pPr>
      <w:r w:rsidRPr="00767038">
        <w:rPr>
          <w:lang w:val="pl-PL"/>
        </w:rPr>
        <w:t xml:space="preserve">Zgodnie z ogólną zasadą dofinansowanie </w:t>
      </w:r>
      <w:r w:rsidR="00A35E94" w:rsidRPr="00767038">
        <w:rPr>
          <w:lang w:val="pl-PL"/>
        </w:rPr>
        <w:t>wypłacane</w:t>
      </w:r>
      <w:r w:rsidRPr="00767038">
        <w:rPr>
          <w:lang w:val="pl-PL"/>
        </w:rPr>
        <w:t xml:space="preserve"> </w:t>
      </w:r>
      <w:r w:rsidR="00C87791" w:rsidRPr="00767038">
        <w:rPr>
          <w:lang w:val="pl-PL"/>
        </w:rPr>
        <w:t xml:space="preserve">jest przez </w:t>
      </w:r>
      <w:r w:rsidRPr="00767038">
        <w:rPr>
          <w:lang w:val="pl-PL"/>
        </w:rPr>
        <w:t xml:space="preserve">BMF w formie </w:t>
      </w:r>
      <w:r w:rsidR="00C87791" w:rsidRPr="00767038">
        <w:rPr>
          <w:lang w:val="pl-PL"/>
        </w:rPr>
        <w:t xml:space="preserve">płatności </w:t>
      </w:r>
      <w:r w:rsidRPr="00767038">
        <w:rPr>
          <w:lang w:val="pl-PL"/>
        </w:rPr>
        <w:t>zalicz</w:t>
      </w:r>
      <w:r w:rsidR="00381AC3" w:rsidRPr="00767038">
        <w:rPr>
          <w:lang w:val="pl-PL"/>
        </w:rPr>
        <w:t>kowych</w:t>
      </w:r>
      <w:r w:rsidRPr="00767038">
        <w:rPr>
          <w:lang w:val="pl-PL"/>
        </w:rPr>
        <w:t xml:space="preserve"> na rzecz </w:t>
      </w:r>
      <w:r w:rsidR="00315981"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na podstawie</w:t>
      </w:r>
      <w:r w:rsidR="00265F1A" w:rsidRPr="00767038">
        <w:rPr>
          <w:lang w:val="pl-PL"/>
        </w:rPr>
        <w:t>:</w:t>
      </w:r>
    </w:p>
    <w:p w:rsidR="007C79FB" w:rsidRPr="00767038" w:rsidRDefault="00120F81" w:rsidP="00381AC3">
      <w:pPr>
        <w:pStyle w:val="Akapitzlist"/>
        <w:numPr>
          <w:ilvl w:val="0"/>
          <w:numId w:val="20"/>
        </w:numPr>
        <w:rPr>
          <w:lang w:val="pl-PL"/>
        </w:rPr>
      </w:pPr>
      <w:r w:rsidRPr="00767038">
        <w:rPr>
          <w:lang w:val="pl-PL"/>
        </w:rPr>
        <w:t xml:space="preserve">wydatków poniesionych bezpośrednio przez </w:t>
      </w:r>
      <w:r w:rsidR="00315981"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7C79FB" w:rsidRPr="00767038">
        <w:rPr>
          <w:lang w:val="pl-PL"/>
        </w:rPr>
        <w:t>;</w:t>
      </w:r>
    </w:p>
    <w:p w:rsidR="007C79FB" w:rsidRPr="00767038" w:rsidRDefault="00120F81" w:rsidP="00381AC3">
      <w:pPr>
        <w:pStyle w:val="Akapitzlist"/>
        <w:numPr>
          <w:ilvl w:val="0"/>
          <w:numId w:val="20"/>
        </w:numPr>
        <w:rPr>
          <w:lang w:val="pl-PL"/>
        </w:rPr>
      </w:pPr>
      <w:r w:rsidRPr="00767038">
        <w:rPr>
          <w:lang w:val="pl-PL"/>
        </w:rPr>
        <w:t xml:space="preserve">kwot przekazanych na projekty przez </w:t>
      </w:r>
      <w:r w:rsidR="00315981"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w formie przelewów bankowych, tj. kwot wypłaconych</w:t>
      </w:r>
      <w:r w:rsidR="007C79FB" w:rsidRPr="00767038">
        <w:rPr>
          <w:lang w:val="pl-PL"/>
        </w:rPr>
        <w:t>;</w:t>
      </w:r>
    </w:p>
    <w:p w:rsidR="007C79FB" w:rsidRPr="00767038" w:rsidRDefault="00120F81" w:rsidP="00381AC3">
      <w:pPr>
        <w:pStyle w:val="Akapitzlist"/>
        <w:numPr>
          <w:ilvl w:val="0"/>
          <w:numId w:val="20"/>
        </w:numPr>
        <w:rPr>
          <w:lang w:val="pl-PL"/>
        </w:rPr>
      </w:pPr>
      <w:r w:rsidRPr="00767038">
        <w:rPr>
          <w:lang w:val="pl-PL"/>
        </w:rPr>
        <w:t xml:space="preserve">przyszłego zapotrzebowania </w:t>
      </w:r>
      <w:r w:rsidR="00315981"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na środki pieniężne przy uwzględnieniu uprzednio otrzymanych środków pieniężnych, zgłoszonych poniesionych wydatków i nowych wniosków o </w:t>
      </w:r>
      <w:proofErr w:type="spellStart"/>
      <w:r w:rsidR="00B569D9" w:rsidRPr="00767038">
        <w:rPr>
          <w:lang w:val="pl-PL"/>
        </w:rPr>
        <w:t>pre</w:t>
      </w:r>
      <w:proofErr w:type="spellEnd"/>
      <w:r w:rsidR="00B569D9" w:rsidRPr="00767038">
        <w:rPr>
          <w:lang w:val="pl-PL"/>
        </w:rPr>
        <w:t>-</w:t>
      </w:r>
      <w:r w:rsidRPr="00767038">
        <w:rPr>
          <w:lang w:val="pl-PL"/>
        </w:rPr>
        <w:t>finansowanie</w:t>
      </w:r>
      <w:r w:rsidR="007C79FB" w:rsidRPr="00767038">
        <w:rPr>
          <w:lang w:val="pl-PL"/>
        </w:rPr>
        <w:t xml:space="preserve">. </w:t>
      </w:r>
    </w:p>
    <w:p w:rsidR="007C79FB" w:rsidRPr="00767038" w:rsidRDefault="00756E98" w:rsidP="00376576">
      <w:pPr>
        <w:rPr>
          <w:lang w:val="pl-PL"/>
        </w:rPr>
      </w:pPr>
      <w:r w:rsidRPr="00767038">
        <w:rPr>
          <w:lang w:val="pl-PL"/>
        </w:rPr>
        <w:t xml:space="preserve">Kwot wypłaconych przez </w:t>
      </w:r>
      <w:r w:rsidR="00315981"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na projekt</w:t>
      </w:r>
      <w:r w:rsidR="00384E5A" w:rsidRPr="00767038">
        <w:rPr>
          <w:lang w:val="pl-PL"/>
        </w:rPr>
        <w:t>y</w:t>
      </w:r>
      <w:r w:rsidRPr="00767038">
        <w:rPr>
          <w:lang w:val="pl-PL"/>
        </w:rPr>
        <w:t xml:space="preserve"> nie należy mylić z wydatkami poniesionymi </w:t>
      </w:r>
      <w:r w:rsidR="00B569D9" w:rsidRPr="00767038">
        <w:rPr>
          <w:lang w:val="pl-PL"/>
        </w:rPr>
        <w:t>w ramach</w:t>
      </w:r>
      <w:r w:rsidRPr="00767038">
        <w:rPr>
          <w:lang w:val="pl-PL"/>
        </w:rPr>
        <w:t xml:space="preserve"> projekt</w:t>
      </w:r>
      <w:r w:rsidR="00B569D9" w:rsidRPr="00767038">
        <w:rPr>
          <w:lang w:val="pl-PL"/>
        </w:rPr>
        <w:t>ów</w:t>
      </w:r>
      <w:r w:rsidR="007C79FB" w:rsidRPr="00767038">
        <w:rPr>
          <w:lang w:val="pl-PL"/>
        </w:rPr>
        <w:t>.</w:t>
      </w:r>
    </w:p>
    <w:p w:rsidR="00EA0104" w:rsidRPr="00767038" w:rsidRDefault="00B569D9" w:rsidP="00C27B08">
      <w:pPr>
        <w:pStyle w:val="Nagwek3"/>
        <w:rPr>
          <w:lang w:val="pl-PL"/>
        </w:rPr>
      </w:pPr>
      <w:r w:rsidRPr="00767038">
        <w:rPr>
          <w:lang w:val="pl-PL"/>
        </w:rPr>
        <w:t>Zaliczki</w:t>
      </w:r>
      <w:r w:rsidR="002B226E" w:rsidRPr="00767038">
        <w:rPr>
          <w:lang w:val="pl-PL"/>
        </w:rPr>
        <w:t xml:space="preserve"> (</w:t>
      </w:r>
      <w:r w:rsidR="00120F81" w:rsidRPr="00767038">
        <w:rPr>
          <w:lang w:val="pl-PL"/>
        </w:rPr>
        <w:t>a</w:t>
      </w:r>
      <w:r w:rsidR="002B226E" w:rsidRPr="00767038">
        <w:rPr>
          <w:lang w:val="pl-PL"/>
        </w:rPr>
        <w:t>rt. 9.2</w:t>
      </w:r>
      <w:r w:rsidR="00120F81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2B226E" w:rsidRPr="00767038">
        <w:rPr>
          <w:lang w:val="pl-PL"/>
        </w:rPr>
        <w:t>)</w:t>
      </w:r>
    </w:p>
    <w:p w:rsidR="005D0B75" w:rsidRPr="00767038" w:rsidRDefault="00315981" w:rsidP="00376576">
      <w:pPr>
        <w:rPr>
          <w:lang w:val="pl-PL"/>
        </w:rPr>
      </w:pPr>
      <w:r w:rsidRPr="00767038">
        <w:rPr>
          <w:lang w:val="pl-PL"/>
        </w:rPr>
        <w:t>Operator Programu</w:t>
      </w:r>
      <w:r w:rsidR="00756E98" w:rsidRPr="00767038">
        <w:rPr>
          <w:lang w:val="pl-PL"/>
        </w:rPr>
        <w:t xml:space="preserve"> może otrzymać </w:t>
      </w:r>
      <w:r w:rsidR="00B569D9" w:rsidRPr="00767038">
        <w:rPr>
          <w:lang w:val="pl-PL"/>
        </w:rPr>
        <w:t xml:space="preserve">płatność </w:t>
      </w:r>
      <w:r w:rsidR="00756E98" w:rsidRPr="00767038">
        <w:rPr>
          <w:lang w:val="pl-PL"/>
        </w:rPr>
        <w:t>zaliczk</w:t>
      </w:r>
      <w:r w:rsidR="00B569D9" w:rsidRPr="00767038">
        <w:rPr>
          <w:lang w:val="pl-PL"/>
        </w:rPr>
        <w:t>ową</w:t>
      </w:r>
      <w:r w:rsidR="005D0B75" w:rsidRPr="00767038">
        <w:rPr>
          <w:lang w:val="pl-PL"/>
        </w:rPr>
        <w:t>.</w:t>
      </w:r>
      <w:r w:rsidR="00756E98" w:rsidRPr="00767038">
        <w:rPr>
          <w:lang w:val="pl-PL"/>
        </w:rPr>
        <w:t xml:space="preserve"> O zaliczkę należy </w:t>
      </w:r>
      <w:r w:rsidR="00B569D9" w:rsidRPr="00767038">
        <w:rPr>
          <w:lang w:val="pl-PL"/>
        </w:rPr>
        <w:t xml:space="preserve">wnioskować </w:t>
      </w:r>
      <w:r w:rsidR="00756E98" w:rsidRPr="00767038">
        <w:rPr>
          <w:lang w:val="pl-PL"/>
        </w:rPr>
        <w:t xml:space="preserve">w trakcie fazy przygotowania programu i </w:t>
      </w:r>
      <w:r w:rsidR="00B569D9" w:rsidRPr="00767038">
        <w:rPr>
          <w:lang w:val="pl-PL"/>
        </w:rPr>
        <w:t xml:space="preserve">należy to </w:t>
      </w:r>
      <w:r w:rsidR="00756E98" w:rsidRPr="00767038">
        <w:rPr>
          <w:lang w:val="pl-PL"/>
        </w:rPr>
        <w:t xml:space="preserve">uwzględnić w </w:t>
      </w:r>
      <w:r w:rsidR="00A35E94" w:rsidRPr="00767038">
        <w:rPr>
          <w:lang w:val="pl-PL"/>
        </w:rPr>
        <w:t>Umow</w:t>
      </w:r>
      <w:r w:rsidR="00650723">
        <w:rPr>
          <w:lang w:val="pl-PL"/>
        </w:rPr>
        <w:t>ie</w:t>
      </w:r>
      <w:r w:rsidR="00B569D9" w:rsidRPr="00767038">
        <w:rPr>
          <w:lang w:val="pl-PL"/>
        </w:rPr>
        <w:t xml:space="preserve"> w sprawie programu</w:t>
      </w:r>
      <w:r w:rsidR="005D0B75" w:rsidRPr="00767038">
        <w:rPr>
          <w:vertAlign w:val="superscript"/>
          <w:lang w:val="pl-PL"/>
        </w:rPr>
        <w:footnoteReference w:id="12"/>
      </w:r>
      <w:r w:rsidR="005D0B75" w:rsidRPr="00767038">
        <w:rPr>
          <w:lang w:val="pl-PL"/>
        </w:rPr>
        <w:t xml:space="preserve">. </w:t>
      </w:r>
      <w:r w:rsidR="00756E98" w:rsidRPr="00767038">
        <w:rPr>
          <w:lang w:val="pl-PL"/>
        </w:rPr>
        <w:t>Kwotę zaliczki wylicza się jako część dofinansowania programu, która jest niezbędna na pokrycie części uzasadnionych szacunkowych wydatków programu od początkowej daty kwalifikowalności programu do daty wymagalności pierwszej płatności okresowej</w:t>
      </w:r>
      <w:r w:rsidR="005D0B75" w:rsidRPr="00767038">
        <w:rPr>
          <w:lang w:val="pl-PL"/>
        </w:rPr>
        <w:t xml:space="preserve">. </w:t>
      </w:r>
      <w:r w:rsidR="00756E98" w:rsidRPr="00767038">
        <w:rPr>
          <w:lang w:val="pl-PL"/>
        </w:rPr>
        <w:t>Wnioskowaną zaliczkę dzieli się według pozycji</w:t>
      </w:r>
      <w:r w:rsidR="00B569D9" w:rsidRPr="00767038">
        <w:rPr>
          <w:lang w:val="pl-PL"/>
        </w:rPr>
        <w:t>/linii</w:t>
      </w:r>
      <w:r w:rsidR="00756E98" w:rsidRPr="00767038">
        <w:rPr>
          <w:lang w:val="pl-PL"/>
        </w:rPr>
        <w:t xml:space="preserve"> budżetowych (por. tabela 1) i </w:t>
      </w:r>
      <w:r w:rsidR="00B569D9" w:rsidRPr="00767038">
        <w:rPr>
          <w:lang w:val="pl-PL"/>
        </w:rPr>
        <w:t>należy ją</w:t>
      </w:r>
      <w:r w:rsidR="00756E98" w:rsidRPr="00767038">
        <w:rPr>
          <w:lang w:val="pl-PL"/>
        </w:rPr>
        <w:t xml:space="preserve"> uzasadni</w:t>
      </w:r>
      <w:r w:rsidR="00B569D9" w:rsidRPr="00767038">
        <w:rPr>
          <w:lang w:val="pl-PL"/>
        </w:rPr>
        <w:t>ć</w:t>
      </w:r>
      <w:r w:rsidR="005D0B75" w:rsidRPr="00767038">
        <w:rPr>
          <w:lang w:val="pl-PL"/>
        </w:rPr>
        <w:t xml:space="preserve">. </w:t>
      </w:r>
    </w:p>
    <w:p w:rsidR="00EA0104" w:rsidRPr="00767038" w:rsidRDefault="00120F81" w:rsidP="00C27B08">
      <w:pPr>
        <w:pStyle w:val="Nagwek3"/>
        <w:rPr>
          <w:lang w:val="pl-PL"/>
        </w:rPr>
      </w:pPr>
      <w:r w:rsidRPr="00767038">
        <w:rPr>
          <w:lang w:val="pl-PL"/>
        </w:rPr>
        <w:t>Płatności okresowe</w:t>
      </w:r>
      <w:r w:rsidR="002B226E" w:rsidRPr="00767038">
        <w:rPr>
          <w:lang w:val="pl-PL"/>
        </w:rPr>
        <w:t xml:space="preserve"> (</w:t>
      </w:r>
      <w:r w:rsidRPr="00767038">
        <w:rPr>
          <w:lang w:val="pl-PL"/>
        </w:rPr>
        <w:t>a</w:t>
      </w:r>
      <w:r w:rsidR="002B226E" w:rsidRPr="00767038">
        <w:rPr>
          <w:lang w:val="pl-PL"/>
        </w:rPr>
        <w:t>rt. 9.3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2B226E" w:rsidRPr="00767038">
        <w:rPr>
          <w:lang w:val="pl-PL"/>
        </w:rPr>
        <w:t>)</w:t>
      </w:r>
    </w:p>
    <w:p w:rsidR="00D93E97" w:rsidRPr="00767038" w:rsidRDefault="0018031F" w:rsidP="00376576">
      <w:pPr>
        <w:rPr>
          <w:lang w:val="pl-PL"/>
        </w:rPr>
      </w:pPr>
      <w:r w:rsidRPr="00767038">
        <w:rPr>
          <w:lang w:val="pl-PL"/>
        </w:rPr>
        <w:t>Płatności okresow</w:t>
      </w:r>
      <w:r w:rsidR="00B569D9" w:rsidRPr="00767038">
        <w:rPr>
          <w:lang w:val="pl-PL"/>
        </w:rPr>
        <w:t>e są wypłacane</w:t>
      </w:r>
      <w:r w:rsidRPr="00767038">
        <w:rPr>
          <w:lang w:val="pl-PL"/>
        </w:rPr>
        <w:t xml:space="preserve"> na podstawie </w:t>
      </w:r>
      <w:r w:rsidR="00B569D9" w:rsidRPr="00767038">
        <w:rPr>
          <w:lang w:val="pl-PL"/>
        </w:rPr>
        <w:t>F</w:t>
      </w:r>
      <w:r w:rsidRPr="00767038">
        <w:rPr>
          <w:lang w:val="pl-PL"/>
        </w:rPr>
        <w:t xml:space="preserve">inansowych raportów okresowych (FRO), które przedkłada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, poświadcza IC i zatwierdza BMF, jak przedstawiono </w:t>
      </w:r>
      <w:r w:rsidR="00B569D9" w:rsidRPr="00767038">
        <w:rPr>
          <w:lang w:val="pl-PL"/>
        </w:rPr>
        <w:t xml:space="preserve">na wykresie </w:t>
      </w:r>
      <w:r w:rsidRPr="00767038">
        <w:rPr>
          <w:lang w:val="pl-PL"/>
        </w:rPr>
        <w:t>poniżej</w:t>
      </w:r>
      <w:r w:rsidR="005D0B75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BMF może ponadto zmienić kwotę płatności okresowej, jeżeli </w:t>
      </w:r>
      <w:r w:rsidR="00B569D9" w:rsidRPr="00767038">
        <w:rPr>
          <w:lang w:val="pl-PL"/>
        </w:rPr>
        <w:t>proponowane</w:t>
      </w:r>
      <w:r w:rsidRPr="00767038">
        <w:rPr>
          <w:lang w:val="pl-PL"/>
        </w:rPr>
        <w:t xml:space="preserve"> wydatki </w:t>
      </w:r>
      <w:r w:rsidR="00B569D9" w:rsidRPr="00767038">
        <w:rPr>
          <w:lang w:val="pl-PL"/>
        </w:rPr>
        <w:t>zostaną uznane za</w:t>
      </w:r>
      <w:r w:rsidRPr="00767038">
        <w:rPr>
          <w:lang w:val="pl-PL"/>
        </w:rPr>
        <w:t xml:space="preserve"> nieuzasadnione</w:t>
      </w:r>
      <w:r w:rsidR="005D0B75" w:rsidRPr="00767038">
        <w:rPr>
          <w:lang w:val="pl-PL"/>
        </w:rPr>
        <w:t xml:space="preserve">. </w:t>
      </w:r>
      <w:r w:rsidRPr="00767038">
        <w:rPr>
          <w:lang w:val="pl-PL"/>
        </w:rPr>
        <w:t>Po zatwierdzeniu FRO przez BMF</w:t>
      </w:r>
      <w:r w:rsidR="00B569D9" w:rsidRPr="00767038">
        <w:rPr>
          <w:lang w:val="pl-PL"/>
        </w:rPr>
        <w:t>,</w:t>
      </w:r>
      <w:r w:rsidRPr="00767038">
        <w:rPr>
          <w:lang w:val="pl-PL"/>
        </w:rPr>
        <w:t xml:space="preserve"> płatność zostanie zrealizowana i przekazana </w:t>
      </w:r>
      <w:r w:rsidR="00B569D9" w:rsidRPr="00767038">
        <w:rPr>
          <w:lang w:val="pl-PL"/>
        </w:rPr>
        <w:t xml:space="preserve">do </w:t>
      </w:r>
      <w:r w:rsidRPr="00767038">
        <w:rPr>
          <w:lang w:val="pl-PL"/>
        </w:rPr>
        <w:t>IC, która następnie przekaże środki finansowe</w:t>
      </w:r>
      <w:r w:rsidR="00B569D9" w:rsidRPr="00767038">
        <w:rPr>
          <w:lang w:val="pl-PL"/>
        </w:rPr>
        <w:t xml:space="preserve"> do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5D0B75" w:rsidRPr="00767038">
        <w:rPr>
          <w:lang w:val="pl-PL"/>
        </w:rPr>
        <w:t>.</w:t>
      </w:r>
    </w:p>
    <w:p w:rsidR="005D0B75" w:rsidRPr="00767038" w:rsidRDefault="00315981" w:rsidP="00376576">
      <w:pPr>
        <w:spacing w:before="240"/>
        <w:rPr>
          <w:lang w:val="pl-PL"/>
        </w:rPr>
      </w:pPr>
      <w:r w:rsidRPr="00767038">
        <w:rPr>
          <w:lang w:val="pl-PL"/>
        </w:rPr>
        <w:t>Operator Programu</w:t>
      </w:r>
      <w:r w:rsidR="0018031F" w:rsidRPr="00767038">
        <w:rPr>
          <w:lang w:val="pl-PL"/>
        </w:rPr>
        <w:t xml:space="preserve"> będzie mógł przesyłać FRO, a IC poświadczać raporty</w:t>
      </w:r>
      <w:r w:rsidR="00B569D9" w:rsidRPr="00767038">
        <w:rPr>
          <w:lang w:val="pl-PL"/>
        </w:rPr>
        <w:t xml:space="preserve"> za pośrednictwem systemu informatyczne</w:t>
      </w:r>
      <w:r w:rsidR="00F95778">
        <w:rPr>
          <w:lang w:val="pl-PL"/>
        </w:rPr>
        <w:t>go</w:t>
      </w:r>
      <w:r w:rsidR="005D0B75" w:rsidRPr="00767038">
        <w:rPr>
          <w:lang w:val="pl-PL"/>
        </w:rPr>
        <w:t xml:space="preserve">. </w:t>
      </w:r>
      <w:r w:rsidR="0018031F" w:rsidRPr="00767038">
        <w:rPr>
          <w:lang w:val="pl-PL"/>
        </w:rPr>
        <w:t xml:space="preserve">Każdy raport będzie dostosowany do określonego programu, tj. raport będzie zawierać specyficzne dane dotyczące programu, w tym dane kontaktowe </w:t>
      </w:r>
      <w:r w:rsidRPr="00767038">
        <w:rPr>
          <w:lang w:val="pl-PL"/>
        </w:rPr>
        <w:t>Operator</w:t>
      </w:r>
      <w:r w:rsidR="00B569D9" w:rsidRPr="00767038">
        <w:rPr>
          <w:lang w:val="pl-PL"/>
        </w:rPr>
        <w:t>a</w:t>
      </w:r>
      <w:r w:rsidRPr="00767038">
        <w:rPr>
          <w:lang w:val="pl-PL"/>
        </w:rPr>
        <w:t xml:space="preserve"> Programu</w:t>
      </w:r>
      <w:r w:rsidR="0018031F" w:rsidRPr="00767038">
        <w:rPr>
          <w:lang w:val="pl-PL"/>
        </w:rPr>
        <w:t xml:space="preserve">, informacje finansowe z uprzednio przesłanych raportów, odpowiednie kursy wymiany itd. Interfejs zapewni wszelkie niezbędne wyjaśnienia i poprowadzi </w:t>
      </w:r>
      <w:r w:rsidRPr="00767038">
        <w:rPr>
          <w:lang w:val="pl-PL"/>
        </w:rPr>
        <w:t>Operator</w:t>
      </w:r>
      <w:r w:rsidR="00956521" w:rsidRPr="00767038">
        <w:rPr>
          <w:lang w:val="pl-PL"/>
        </w:rPr>
        <w:t>ów</w:t>
      </w:r>
      <w:r w:rsidRPr="00767038">
        <w:rPr>
          <w:lang w:val="pl-PL"/>
        </w:rPr>
        <w:t xml:space="preserve"> Program</w:t>
      </w:r>
      <w:r w:rsidR="00956521" w:rsidRPr="00767038">
        <w:rPr>
          <w:lang w:val="pl-PL"/>
        </w:rPr>
        <w:t>ów</w:t>
      </w:r>
      <w:r w:rsidR="0018031F" w:rsidRPr="00767038">
        <w:rPr>
          <w:lang w:val="pl-PL"/>
        </w:rPr>
        <w:t xml:space="preserve"> przez wszystkie kroki w procesie uzupełniania i przesyłania raportu</w:t>
      </w:r>
      <w:r w:rsidR="005D0B75" w:rsidRPr="00767038">
        <w:rPr>
          <w:vertAlign w:val="superscript"/>
          <w:lang w:val="pl-PL"/>
        </w:rPr>
        <w:footnoteReference w:id="13"/>
      </w:r>
      <w:r w:rsidR="005D0B75" w:rsidRPr="00767038">
        <w:rPr>
          <w:lang w:val="pl-PL"/>
        </w:rPr>
        <w:t>.</w:t>
      </w:r>
    </w:p>
    <w:p w:rsidR="005D0B75" w:rsidRPr="00767038" w:rsidRDefault="006D1774" w:rsidP="00376576">
      <w:pPr>
        <w:rPr>
          <w:lang w:val="pl-PL"/>
        </w:rPr>
      </w:pPr>
      <w:r w:rsidRPr="00767038">
        <w:rPr>
          <w:lang w:val="pl-PL"/>
        </w:rPr>
        <w:t>Raporty obejmując</w:t>
      </w:r>
      <w:r w:rsidR="00956521" w:rsidRPr="00767038">
        <w:rPr>
          <w:lang w:val="pl-PL"/>
        </w:rPr>
        <w:t>e</w:t>
      </w:r>
      <w:r w:rsidRPr="00767038">
        <w:rPr>
          <w:lang w:val="pl-PL"/>
        </w:rPr>
        <w:t xml:space="preserve"> dwa okresy sprawozdawcze w każdym roku kalendarzowym</w:t>
      </w:r>
      <w:r w:rsidR="00956521" w:rsidRPr="00767038">
        <w:rPr>
          <w:lang w:val="pl-PL"/>
        </w:rPr>
        <w:t xml:space="preserve"> będą przesyłane z uprzednio zdefiniowaną częstotliwością</w:t>
      </w:r>
      <w:r w:rsidR="005D0B75" w:rsidRPr="00767038">
        <w:rPr>
          <w:lang w:val="pl-PL"/>
        </w:rPr>
        <w:t>:</w:t>
      </w:r>
    </w:p>
    <w:p w:rsidR="005D0B75" w:rsidRPr="00767038" w:rsidRDefault="00956521" w:rsidP="00956521">
      <w:pPr>
        <w:pStyle w:val="Akapitzlist"/>
        <w:numPr>
          <w:ilvl w:val="0"/>
          <w:numId w:val="15"/>
        </w:numPr>
        <w:rPr>
          <w:lang w:val="pl-PL"/>
        </w:rPr>
      </w:pPr>
      <w:r w:rsidRPr="00767038">
        <w:rPr>
          <w:lang w:val="pl-PL"/>
        </w:rPr>
        <w:lastRenderedPageBreak/>
        <w:t xml:space="preserve">za okres </w:t>
      </w:r>
      <w:r w:rsidR="005D0B75" w:rsidRPr="00767038">
        <w:rPr>
          <w:lang w:val="pl-PL"/>
        </w:rPr>
        <w:t xml:space="preserve">1 </w:t>
      </w:r>
      <w:r w:rsidR="006D1774" w:rsidRPr="00767038">
        <w:rPr>
          <w:lang w:val="pl-PL"/>
        </w:rPr>
        <w:t xml:space="preserve">stycznia </w:t>
      </w:r>
      <w:r w:rsidRPr="00767038">
        <w:rPr>
          <w:lang w:val="pl-PL"/>
        </w:rPr>
        <w:t>-</w:t>
      </w:r>
      <w:r w:rsidR="006D1774" w:rsidRPr="00767038">
        <w:rPr>
          <w:lang w:val="pl-PL"/>
        </w:rPr>
        <w:t xml:space="preserve"> 30 czerwca </w:t>
      </w:r>
      <w:r w:rsidRPr="00767038">
        <w:rPr>
          <w:lang w:val="pl-PL"/>
        </w:rPr>
        <w:t xml:space="preserve">dla wydatków </w:t>
      </w:r>
      <w:r w:rsidR="006D1774" w:rsidRPr="00767038">
        <w:rPr>
          <w:lang w:val="pl-PL"/>
        </w:rPr>
        <w:t>poniesion</w:t>
      </w:r>
      <w:r w:rsidRPr="00767038">
        <w:rPr>
          <w:lang w:val="pl-PL"/>
        </w:rPr>
        <w:t>ych</w:t>
      </w:r>
      <w:r w:rsidR="006D1774" w:rsidRPr="00767038">
        <w:rPr>
          <w:lang w:val="pl-PL"/>
        </w:rPr>
        <w:t xml:space="preserve"> i </w:t>
      </w:r>
      <w:r w:rsidR="005D0B75" w:rsidRPr="00767038">
        <w:rPr>
          <w:lang w:val="pl-PL"/>
        </w:rPr>
        <w:t>1</w:t>
      </w:r>
      <w:r w:rsidR="006D1774" w:rsidRPr="00767038">
        <w:rPr>
          <w:lang w:val="pl-PL"/>
        </w:rPr>
        <w:t xml:space="preserve"> listopada </w:t>
      </w:r>
      <w:r w:rsidRPr="00767038">
        <w:rPr>
          <w:lang w:val="pl-PL"/>
        </w:rPr>
        <w:t xml:space="preserve">- </w:t>
      </w:r>
      <w:r w:rsidR="006D1774" w:rsidRPr="00767038">
        <w:rPr>
          <w:lang w:val="pl-PL"/>
        </w:rPr>
        <w:t xml:space="preserve">30 kwietnia </w:t>
      </w:r>
      <w:r w:rsidRPr="00767038">
        <w:rPr>
          <w:lang w:val="pl-PL"/>
        </w:rPr>
        <w:t xml:space="preserve">dla wydatków </w:t>
      </w:r>
      <w:r w:rsidR="006D1774" w:rsidRPr="00767038">
        <w:rPr>
          <w:lang w:val="pl-PL"/>
        </w:rPr>
        <w:t>proponowan</w:t>
      </w:r>
      <w:r w:rsidRPr="00767038">
        <w:rPr>
          <w:lang w:val="pl-PL"/>
        </w:rPr>
        <w:t>ych</w:t>
      </w:r>
      <w:r w:rsidR="006D1774" w:rsidRPr="00767038">
        <w:rPr>
          <w:lang w:val="pl-PL"/>
        </w:rPr>
        <w:t xml:space="preserve">, </w:t>
      </w:r>
      <w:r w:rsidRPr="00767038">
        <w:rPr>
          <w:lang w:val="pl-PL"/>
        </w:rPr>
        <w:t>z terminem</w:t>
      </w:r>
      <w:r w:rsidR="006D1774" w:rsidRPr="00767038">
        <w:rPr>
          <w:lang w:val="pl-PL"/>
        </w:rPr>
        <w:t xml:space="preserve"> 15 września </w:t>
      </w:r>
      <w:r w:rsidRPr="00767038">
        <w:rPr>
          <w:lang w:val="pl-PL"/>
        </w:rPr>
        <w:t xml:space="preserve">na </w:t>
      </w:r>
      <w:r w:rsidR="006D1774" w:rsidRPr="00767038">
        <w:rPr>
          <w:lang w:val="pl-PL"/>
        </w:rPr>
        <w:t>przesyłani</w:t>
      </w:r>
      <w:r w:rsidRPr="00767038">
        <w:rPr>
          <w:lang w:val="pl-PL"/>
        </w:rPr>
        <w:t>e</w:t>
      </w:r>
      <w:r w:rsidR="006D1774" w:rsidRPr="00767038">
        <w:rPr>
          <w:lang w:val="pl-PL"/>
        </w:rPr>
        <w:t xml:space="preserve"> raportów do BMF</w:t>
      </w:r>
      <w:r w:rsidRPr="00767038">
        <w:rPr>
          <w:lang w:val="pl-PL"/>
        </w:rPr>
        <w:t xml:space="preserve"> oraz terminem</w:t>
      </w:r>
      <w:r w:rsidR="006D1774" w:rsidRPr="00767038">
        <w:rPr>
          <w:lang w:val="pl-PL"/>
        </w:rPr>
        <w:t xml:space="preserve"> płatności do dnia 15 października</w:t>
      </w:r>
      <w:r w:rsidR="005D0B75" w:rsidRPr="00767038">
        <w:rPr>
          <w:lang w:val="pl-PL"/>
        </w:rPr>
        <w:t>;</w:t>
      </w:r>
    </w:p>
    <w:p w:rsidR="005D0B75" w:rsidRPr="00767038" w:rsidRDefault="00956521" w:rsidP="00956521">
      <w:pPr>
        <w:pStyle w:val="Akapitzlist"/>
        <w:numPr>
          <w:ilvl w:val="0"/>
          <w:numId w:val="15"/>
        </w:numPr>
        <w:rPr>
          <w:lang w:val="pl-PL"/>
        </w:rPr>
      </w:pPr>
      <w:r w:rsidRPr="00767038">
        <w:rPr>
          <w:lang w:val="pl-PL"/>
        </w:rPr>
        <w:t>za okres</w:t>
      </w:r>
      <w:r w:rsidR="006D1774" w:rsidRPr="00767038">
        <w:rPr>
          <w:lang w:val="pl-PL"/>
        </w:rPr>
        <w:t xml:space="preserve"> </w:t>
      </w:r>
      <w:r w:rsidR="005D0B75" w:rsidRPr="00767038">
        <w:rPr>
          <w:lang w:val="pl-PL"/>
        </w:rPr>
        <w:t xml:space="preserve">1 </w:t>
      </w:r>
      <w:r w:rsidR="006D1774" w:rsidRPr="00767038">
        <w:rPr>
          <w:lang w:val="pl-PL"/>
        </w:rPr>
        <w:t xml:space="preserve">lipca </w:t>
      </w:r>
      <w:r w:rsidRPr="00767038">
        <w:rPr>
          <w:lang w:val="pl-PL"/>
        </w:rPr>
        <w:t>-</w:t>
      </w:r>
      <w:r w:rsidR="005D0B75" w:rsidRPr="00767038">
        <w:rPr>
          <w:lang w:val="pl-PL"/>
        </w:rPr>
        <w:t xml:space="preserve"> 31 </w:t>
      </w:r>
      <w:r w:rsidR="006D1774" w:rsidRPr="00767038">
        <w:rPr>
          <w:lang w:val="pl-PL"/>
        </w:rPr>
        <w:t xml:space="preserve">grudnia </w:t>
      </w:r>
      <w:r w:rsidRPr="00767038">
        <w:rPr>
          <w:lang w:val="pl-PL"/>
        </w:rPr>
        <w:t>dla wydatków</w:t>
      </w:r>
      <w:r w:rsidR="006D1774" w:rsidRPr="00767038">
        <w:rPr>
          <w:lang w:val="pl-PL"/>
        </w:rPr>
        <w:t xml:space="preserve"> poniesion</w:t>
      </w:r>
      <w:r w:rsidRPr="00767038">
        <w:rPr>
          <w:lang w:val="pl-PL"/>
        </w:rPr>
        <w:t>ych</w:t>
      </w:r>
      <w:r w:rsidR="006D1774" w:rsidRPr="00767038">
        <w:rPr>
          <w:lang w:val="pl-PL"/>
        </w:rPr>
        <w:t xml:space="preserve"> i </w:t>
      </w:r>
      <w:r w:rsidR="005D0B75" w:rsidRPr="00767038">
        <w:rPr>
          <w:lang w:val="pl-PL"/>
        </w:rPr>
        <w:t xml:space="preserve">1 </w:t>
      </w:r>
      <w:r w:rsidR="006D1774" w:rsidRPr="00767038">
        <w:rPr>
          <w:lang w:val="pl-PL"/>
        </w:rPr>
        <w:t xml:space="preserve">maja </w:t>
      </w:r>
      <w:r w:rsidRPr="00767038">
        <w:rPr>
          <w:lang w:val="pl-PL"/>
        </w:rPr>
        <w:t>-</w:t>
      </w:r>
      <w:r w:rsidR="006D1774" w:rsidRPr="00767038">
        <w:rPr>
          <w:lang w:val="pl-PL"/>
        </w:rPr>
        <w:t xml:space="preserve"> 31 października </w:t>
      </w:r>
      <w:r w:rsidRPr="00767038">
        <w:rPr>
          <w:lang w:val="pl-PL"/>
        </w:rPr>
        <w:t xml:space="preserve">dla wydatków </w:t>
      </w:r>
      <w:r w:rsidR="006D1774" w:rsidRPr="00767038">
        <w:rPr>
          <w:lang w:val="pl-PL"/>
        </w:rPr>
        <w:t>proponowan</w:t>
      </w:r>
      <w:r w:rsidRPr="00767038">
        <w:rPr>
          <w:lang w:val="pl-PL"/>
        </w:rPr>
        <w:t>ych</w:t>
      </w:r>
      <w:r w:rsidR="006D1774" w:rsidRPr="00767038">
        <w:rPr>
          <w:lang w:val="pl-PL"/>
        </w:rPr>
        <w:t xml:space="preserve">, </w:t>
      </w:r>
      <w:r w:rsidRPr="00767038">
        <w:rPr>
          <w:lang w:val="pl-PL"/>
        </w:rPr>
        <w:t>z terminem</w:t>
      </w:r>
      <w:r w:rsidR="006D1774" w:rsidRPr="00767038">
        <w:rPr>
          <w:lang w:val="pl-PL"/>
        </w:rPr>
        <w:t xml:space="preserve"> 15 marca </w:t>
      </w:r>
      <w:r w:rsidRPr="00767038">
        <w:rPr>
          <w:lang w:val="pl-PL"/>
        </w:rPr>
        <w:t>na</w:t>
      </w:r>
      <w:r w:rsidR="006D1774" w:rsidRPr="00767038">
        <w:rPr>
          <w:lang w:val="pl-PL"/>
        </w:rPr>
        <w:t xml:space="preserve"> przesyłani</w:t>
      </w:r>
      <w:r w:rsidRPr="00767038">
        <w:rPr>
          <w:lang w:val="pl-PL"/>
        </w:rPr>
        <w:t>e</w:t>
      </w:r>
      <w:r w:rsidR="006D1774" w:rsidRPr="00767038">
        <w:rPr>
          <w:lang w:val="pl-PL"/>
        </w:rPr>
        <w:t xml:space="preserve"> raportów do BMF </w:t>
      </w:r>
      <w:r w:rsidRPr="00767038">
        <w:rPr>
          <w:lang w:val="pl-PL"/>
        </w:rPr>
        <w:t>oraz terminem</w:t>
      </w:r>
      <w:r w:rsidR="006D1774" w:rsidRPr="00767038">
        <w:rPr>
          <w:lang w:val="pl-PL"/>
        </w:rPr>
        <w:t xml:space="preserve"> płatności do dnia 15 kwietnia</w:t>
      </w:r>
      <w:r w:rsidR="005D0B75" w:rsidRPr="00767038">
        <w:rPr>
          <w:lang w:val="pl-PL"/>
        </w:rPr>
        <w:t>.</w:t>
      </w:r>
    </w:p>
    <w:p w:rsidR="00B033FD" w:rsidRPr="00767038" w:rsidRDefault="006D1774" w:rsidP="00376576">
      <w:pPr>
        <w:rPr>
          <w:lang w:val="pl-PL"/>
        </w:rPr>
      </w:pPr>
      <w:r w:rsidRPr="00767038">
        <w:rPr>
          <w:lang w:val="pl-PL"/>
        </w:rPr>
        <w:t>F</w:t>
      </w:r>
      <w:r w:rsidR="00CE3933" w:rsidRPr="00767038">
        <w:rPr>
          <w:lang w:val="pl-PL"/>
        </w:rPr>
        <w:t>inansowy raport okresowy</w:t>
      </w:r>
      <w:r w:rsidRPr="00767038">
        <w:rPr>
          <w:lang w:val="pl-PL"/>
        </w:rPr>
        <w:t xml:space="preserve"> służy trzem celom. P</w:t>
      </w:r>
      <w:r w:rsidR="00384E5A" w:rsidRPr="00767038">
        <w:rPr>
          <w:lang w:val="pl-PL"/>
        </w:rPr>
        <w:t>o</w:t>
      </w:r>
      <w:r w:rsidRPr="00767038">
        <w:rPr>
          <w:lang w:val="pl-PL"/>
        </w:rPr>
        <w:t xml:space="preserve"> pierwsze,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przedkłada zestawienie rzeczywiście poniesionych wydatków za okres sprawozdawczy </w:t>
      </w:r>
      <w:r w:rsidR="00CE3933" w:rsidRPr="00767038">
        <w:rPr>
          <w:lang w:val="pl-PL"/>
        </w:rPr>
        <w:t xml:space="preserve">poprzedzający </w:t>
      </w:r>
      <w:r w:rsidRPr="00767038">
        <w:rPr>
          <w:lang w:val="pl-PL"/>
        </w:rPr>
        <w:t>termin przesłania raportu (tj. jeżeli termin przesłania raport</w:t>
      </w:r>
      <w:r w:rsidR="00384E5A" w:rsidRPr="00767038">
        <w:rPr>
          <w:lang w:val="pl-PL"/>
        </w:rPr>
        <w:t>u</w:t>
      </w:r>
      <w:r w:rsidRPr="00767038">
        <w:rPr>
          <w:lang w:val="pl-PL"/>
        </w:rPr>
        <w:t xml:space="preserve"> wypada dnia 15 września, raport powinien obejmować okres od dnia 1 stycznia do dnia 30 czerwca)</w:t>
      </w:r>
      <w:r w:rsidR="005D0B75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Wszystkie kwoty w tej sekcji </w:t>
      </w:r>
      <w:r w:rsidR="003C2C08" w:rsidRPr="00767038">
        <w:rPr>
          <w:lang w:val="pl-PL"/>
        </w:rPr>
        <w:t>wyrażone są</w:t>
      </w:r>
      <w:r w:rsidRPr="00767038">
        <w:rPr>
          <w:lang w:val="pl-PL"/>
        </w:rPr>
        <w:t xml:space="preserve"> w walucie lokalnej i automatycznie przelicza</w:t>
      </w:r>
      <w:r w:rsidR="003C2C08" w:rsidRPr="00767038">
        <w:rPr>
          <w:lang w:val="pl-PL"/>
        </w:rPr>
        <w:t>ją</w:t>
      </w:r>
      <w:r w:rsidRPr="00767038">
        <w:rPr>
          <w:lang w:val="pl-PL"/>
        </w:rPr>
        <w:t xml:space="preserve"> </w:t>
      </w:r>
      <w:r w:rsidR="003C2C08" w:rsidRPr="00767038">
        <w:rPr>
          <w:lang w:val="pl-PL"/>
        </w:rPr>
        <w:t xml:space="preserve">sią </w:t>
      </w:r>
      <w:r w:rsidRPr="00767038">
        <w:rPr>
          <w:lang w:val="pl-PL"/>
        </w:rPr>
        <w:t xml:space="preserve">na euro </w:t>
      </w:r>
      <w:r w:rsidR="003C2C08" w:rsidRPr="00767038">
        <w:rPr>
          <w:lang w:val="pl-PL"/>
        </w:rPr>
        <w:t>z wykorzystaniem</w:t>
      </w:r>
      <w:r w:rsidRPr="00767038">
        <w:rPr>
          <w:lang w:val="pl-PL"/>
        </w:rPr>
        <w:t xml:space="preserve"> </w:t>
      </w:r>
      <w:r w:rsidR="005D0B75" w:rsidRPr="00767038">
        <w:rPr>
          <w:lang w:val="pl-PL"/>
        </w:rPr>
        <w:t>m</w:t>
      </w:r>
      <w:r w:rsidRPr="00767038">
        <w:rPr>
          <w:lang w:val="pl-PL"/>
        </w:rPr>
        <w:t>iesięcznego kursu</w:t>
      </w:r>
      <w:r w:rsidR="003C2C08" w:rsidRPr="00767038">
        <w:rPr>
          <w:lang w:val="pl-PL"/>
        </w:rPr>
        <w:t xml:space="preserve"> księgowego</w:t>
      </w:r>
      <w:r w:rsidRPr="00767038">
        <w:rPr>
          <w:lang w:val="pl-PL"/>
        </w:rPr>
        <w:t xml:space="preserve"> wymiany </w:t>
      </w:r>
      <w:r w:rsidR="003C2C08" w:rsidRPr="00767038">
        <w:rPr>
          <w:lang w:val="pl-PL"/>
        </w:rPr>
        <w:t>euro</w:t>
      </w:r>
      <w:r w:rsidRPr="00767038">
        <w:rPr>
          <w:lang w:val="pl-PL"/>
        </w:rPr>
        <w:t xml:space="preserve"> Komisji Europejskiej w miesiącu, w którym wydatki zostały za</w:t>
      </w:r>
      <w:r w:rsidR="003C2C08" w:rsidRPr="00767038">
        <w:rPr>
          <w:lang w:val="pl-PL"/>
        </w:rPr>
        <w:t>księgowane przez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3C2C08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</w:t>
      </w:r>
      <w:r w:rsidR="003C2C08" w:rsidRPr="00767038">
        <w:rPr>
          <w:lang w:val="pl-PL"/>
        </w:rPr>
        <w:t>dla</w:t>
      </w:r>
      <w:r w:rsidRPr="00767038">
        <w:rPr>
          <w:lang w:val="pl-PL"/>
        </w:rPr>
        <w:t xml:space="preserve"> danego programu</w:t>
      </w:r>
      <w:r w:rsidR="005D0B75" w:rsidRPr="00767038">
        <w:rPr>
          <w:lang w:val="pl-PL"/>
        </w:rPr>
        <w:t>.</w:t>
      </w:r>
    </w:p>
    <w:p w:rsidR="005D0B75" w:rsidRPr="00767038" w:rsidRDefault="005D0B75" w:rsidP="00376576">
      <w:pPr>
        <w:rPr>
          <w:lang w:val="pl-PL"/>
        </w:rPr>
      </w:pPr>
    </w:p>
    <w:p w:rsidR="0055114F" w:rsidRPr="00767038" w:rsidRDefault="0055114F" w:rsidP="00C753D4">
      <w:pPr>
        <w:spacing w:before="0" w:after="0"/>
        <w:rPr>
          <w:sz w:val="18"/>
          <w:szCs w:val="18"/>
          <w:lang w:val="pl-PL"/>
        </w:rPr>
      </w:pPr>
    </w:p>
    <w:p w:rsidR="0055114F" w:rsidRPr="00767038" w:rsidRDefault="0055114F" w:rsidP="00C753D4">
      <w:pPr>
        <w:spacing w:before="0" w:after="0"/>
        <w:rPr>
          <w:sz w:val="18"/>
          <w:szCs w:val="18"/>
          <w:lang w:val="pl-PL"/>
        </w:rPr>
      </w:pPr>
      <w:r w:rsidRPr="00767038">
        <w:rPr>
          <w:noProof/>
          <w:sz w:val="18"/>
          <w:szCs w:val="18"/>
          <w:lang w:val="pl-PL" w:eastAsia="pl-PL"/>
        </w:rPr>
        <w:drawing>
          <wp:inline distT="0" distB="0" distL="0" distR="0" wp14:anchorId="4EF6BAE4" wp14:editId="6A6CA2CE">
            <wp:extent cx="5732145" cy="3577391"/>
            <wp:effectExtent l="0" t="0" r="0" b="0"/>
            <wp:docPr id="1" name="Obraz 1" descr="C:\Users\Justyna_Beska\Desktop\Obr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_Beska\Desktop\Obraz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69" w:rsidRPr="00767038" w:rsidRDefault="00FB2938" w:rsidP="00376576">
      <w:pPr>
        <w:rPr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AE9AD7" wp14:editId="19771A6D">
                <wp:simplePos x="0" y="0"/>
                <wp:positionH relativeFrom="column">
                  <wp:posOffset>167005</wp:posOffset>
                </wp:positionH>
                <wp:positionV relativeFrom="paragraph">
                  <wp:posOffset>1581150</wp:posOffset>
                </wp:positionV>
                <wp:extent cx="5399405" cy="3504565"/>
                <wp:effectExtent l="0" t="0" r="10795" b="196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3504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265F1A" w:rsidRDefault="00C522D7" w:rsidP="00F54271">
                            <w:pP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Przykład:</w:t>
                            </w:r>
                          </w:p>
                          <w:p w:rsidR="00C522D7" w:rsidRPr="00265F1A" w:rsidRDefault="00C522D7" w:rsidP="0049030C">
                            <w:pPr>
                              <w:pStyle w:val="Legenda"/>
                              <w:rPr>
                                <w:lang w:val="pl-PL"/>
                              </w:rPr>
                            </w:pPr>
                            <w:bookmarkStart w:id="71" w:name="_Toc486413517"/>
                            <w:bookmarkStart w:id="72" w:name="_Toc467246323"/>
                            <w:r w:rsidRPr="00265F1A">
                              <w:rPr>
                                <w:iCs/>
                                <w:lang w:val="pl-PL"/>
                              </w:rPr>
                              <w:t>Tabela 6</w:t>
                            </w:r>
                            <w:r>
                              <w:rPr>
                                <w:iCs/>
                                <w:lang w:val="pl-PL"/>
                              </w:rPr>
                              <w:t>.</w:t>
                            </w:r>
                            <w:r w:rsidRPr="00265F1A">
                              <w:rPr>
                                <w:iCs/>
                                <w:lang w:val="pl-PL"/>
                              </w:rPr>
                              <w:t xml:space="preserve"> </w:t>
                            </w:r>
                            <w:bookmarkStart w:id="73" w:name="Sixth_table"/>
                            <w:r>
                              <w:rPr>
                                <w:iCs/>
                                <w:lang w:val="pl-PL"/>
                              </w:rPr>
                              <w:t>W</w:t>
                            </w:r>
                            <w:r w:rsidRPr="00265F1A">
                              <w:rPr>
                                <w:iCs/>
                                <w:lang w:val="pl-PL"/>
                              </w:rPr>
                              <w:t>yliczenie salda środków pieniężny</w:t>
                            </w:r>
                            <w:bookmarkEnd w:id="71"/>
                            <w:bookmarkEnd w:id="72"/>
                            <w:r w:rsidRPr="00265F1A">
                              <w:rPr>
                                <w:iCs/>
                                <w:lang w:val="pl-PL"/>
                              </w:rPr>
                              <w:t>ch</w:t>
                            </w:r>
                          </w:p>
                          <w:tbl>
                            <w:tblPr>
                              <w:tblStyle w:val="Tabela-Siatka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7"/>
                              <w:gridCol w:w="1675"/>
                            </w:tblGrid>
                            <w:tr w:rsidR="00C522D7" w:rsidRPr="007F2584" w:rsidTr="00A71EB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bookmarkEnd w:id="73"/>
                                <w:p w:rsidR="00C522D7" w:rsidRPr="00265F1A" w:rsidRDefault="00C522D7" w:rsidP="00D56C8D">
                                  <w:pPr>
                                    <w:tabs>
                                      <w:tab w:val="left" w:pos="5415"/>
                                    </w:tabs>
                                    <w:jc w:val="center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>Wyliczenie salda środków pieniężnych: FRO z dnia 15 września</w:t>
                                  </w:r>
                                </w:p>
                                <w:p w:rsidR="00C522D7" w:rsidRPr="00265F1A" w:rsidRDefault="00C522D7" w:rsidP="00D56C8D">
                                  <w:pPr>
                                    <w:tabs>
                                      <w:tab w:val="left" w:pos="5415"/>
                                    </w:tabs>
                                    <w:jc w:val="center"/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ED13FE" w:rsidTr="00A71EB5">
                              <w:trPr>
                                <w:trHeight w:val="233"/>
                              </w:trPr>
                              <w:tc>
                                <w:tcPr>
                                  <w:tcW w:w="4007" w:type="pct"/>
                                  <w:vAlign w:val="center"/>
                                </w:tcPr>
                                <w:p w:rsidR="00C522D7" w:rsidRPr="00265F1A" w:rsidRDefault="00C522D7" w:rsidP="00BF0DB0">
                                  <w:pPr>
                                    <w:tabs>
                                      <w:tab w:val="left" w:pos="5415"/>
                                    </w:tabs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Prognozowane wydatki kwalifikowalne na następny okres sprawozdawczy (od dnia 1 listopada do dnia 30 kwietnia)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C522D7" w:rsidRPr="00ED13FE" w:rsidRDefault="00C522D7" w:rsidP="00B9410B">
                                  <w:pPr>
                                    <w:tabs>
                                      <w:tab w:val="left" w:pos="5415"/>
                                    </w:tabs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+ 800.000 euro</w:t>
                                  </w:r>
                                </w:p>
                              </w:tc>
                            </w:tr>
                            <w:tr w:rsidR="00C522D7" w:rsidRPr="00ED13FE" w:rsidTr="00A71EB5">
                              <w:trPr>
                                <w:trHeight w:val="246"/>
                              </w:trPr>
                              <w:tc>
                                <w:tcPr>
                                  <w:tcW w:w="4007" w:type="pct"/>
                                  <w:vAlign w:val="center"/>
                                </w:tcPr>
                                <w:p w:rsidR="00C522D7" w:rsidRPr="00265F1A" w:rsidRDefault="00C522D7" w:rsidP="00767038">
                                  <w:pPr>
                                    <w:tabs>
                                      <w:tab w:val="left" w:pos="5415"/>
                                    </w:tabs>
                                    <w:ind w:left="284" w:hanging="284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Uprzednio</w:t>
                                  </w: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zaproponowane wydatki kwalifikowalne do dnia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31 października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C522D7" w:rsidRPr="00ED13FE" w:rsidRDefault="00C522D7" w:rsidP="00B9410B">
                                  <w:pPr>
                                    <w:tabs>
                                      <w:tab w:val="left" w:pos="5415"/>
                                    </w:tabs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- 1.000.000 euro</w:t>
                                  </w:r>
                                </w:p>
                              </w:tc>
                            </w:tr>
                            <w:tr w:rsidR="00C522D7" w:rsidRPr="00ED13FE" w:rsidTr="00A71EB5">
                              <w:trPr>
                                <w:trHeight w:val="233"/>
                              </w:trPr>
                              <w:tc>
                                <w:tcPr>
                                  <w:tcW w:w="4007" w:type="pct"/>
                                  <w:vAlign w:val="center"/>
                                </w:tcPr>
                                <w:p w:rsidR="00C522D7" w:rsidRPr="00265F1A" w:rsidRDefault="00C522D7" w:rsidP="00767038">
                                  <w:pPr>
                                    <w:tabs>
                                      <w:tab w:val="left" w:pos="5415"/>
                                    </w:tabs>
                                    <w:ind w:left="284" w:hanging="284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Całkowite poniesione wydatki kwalifikowalne zgłoszone do dnia 30 czerwca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C522D7" w:rsidRPr="00ED13FE" w:rsidRDefault="00C522D7" w:rsidP="001D0157">
                                  <w:pPr>
                                    <w:tabs>
                                      <w:tab w:val="left" w:pos="5415"/>
                                    </w:tabs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+ 600.000 euro</w:t>
                                  </w:r>
                                </w:p>
                              </w:tc>
                            </w:tr>
                            <w:tr w:rsidR="00C522D7" w:rsidRPr="00ED13FE" w:rsidTr="00A71EB5">
                              <w:trPr>
                                <w:trHeight w:val="246"/>
                              </w:trPr>
                              <w:tc>
                                <w:tcPr>
                                  <w:tcW w:w="4007" w:type="pct"/>
                                  <w:vAlign w:val="center"/>
                                </w:tcPr>
                                <w:p w:rsidR="00C522D7" w:rsidRPr="00265F1A" w:rsidRDefault="00C522D7" w:rsidP="00767038">
                                  <w:pPr>
                                    <w:tabs>
                                      <w:tab w:val="left" w:pos="5415"/>
                                    </w:tabs>
                                    <w:ind w:left="284" w:hanging="284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265F1A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Prognozowane wydatki kwalifikowalne za okres od dnia 30 czerwca do dnia 31 października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C522D7" w:rsidRPr="00ED13FE" w:rsidRDefault="00C522D7" w:rsidP="00B9410B">
                                  <w:pPr>
                                    <w:tabs>
                                      <w:tab w:val="left" w:pos="5415"/>
                                    </w:tabs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+ 100.000 euro</w:t>
                                  </w:r>
                                </w:p>
                              </w:tc>
                            </w:tr>
                            <w:tr w:rsidR="00C522D7" w:rsidRPr="00ED13FE" w:rsidTr="00A71EB5">
                              <w:trPr>
                                <w:trHeight w:val="480"/>
                              </w:trPr>
                              <w:tc>
                                <w:tcPr>
                                  <w:tcW w:w="4007" w:type="pct"/>
                                  <w:vAlign w:val="center"/>
                                </w:tcPr>
                                <w:p w:rsidR="00C522D7" w:rsidRPr="00265F1A" w:rsidRDefault="00C522D7" w:rsidP="00BF0DB0">
                                  <w:pPr>
                                    <w:tabs>
                                      <w:tab w:val="left" w:pos="5415"/>
                                    </w:tabs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265F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Proponowane wydatki kwalifikowalne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we FRO </w:t>
                                  </w:r>
                                  <w:r w:rsidRPr="00265F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>na następny okres sprawozdawczy (od dnia 1 listopada do dnia 30 kwietnia)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C522D7" w:rsidRPr="00ED13FE" w:rsidRDefault="00C522D7" w:rsidP="00B9410B">
                                  <w:pPr>
                                    <w:tabs>
                                      <w:tab w:val="left" w:pos="5415"/>
                                    </w:tabs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500.000 euro</w:t>
                                  </w:r>
                                </w:p>
                              </w:tc>
                            </w:tr>
                          </w:tbl>
                          <w:p w:rsidR="00C522D7" w:rsidRPr="00ED13FE" w:rsidRDefault="00C52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.15pt;margin-top:124.5pt;width:425.15pt;height:275.9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" fillcolor="white [3212]" strokecolor="black [3213]">
                <v:textbox>
                  <w:txbxContent>
                    <w:p w:rsidR="00C522D7" w:rsidRPr="00265F1A" w:rsidRDefault="00C522D7" w:rsidP="00F54271">
                      <w:pPr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b/>
                          <w:bCs/>
                          <w:sz w:val="18"/>
                          <w:szCs w:val="18"/>
                          <w:lang w:val="pl-PL"/>
                        </w:rPr>
                        <w:t>Przykład:</w:t>
                      </w:r>
                    </w:p>
                    <w:p w:rsidR="00C522D7" w:rsidRPr="00265F1A" w:rsidRDefault="00C522D7" w:rsidP="0049030C">
                      <w:pPr>
                        <w:pStyle w:val="Legenda"/>
                        <w:rPr>
                          <w:lang w:val="pl-PL"/>
                        </w:rPr>
                      </w:pPr>
                      <w:bookmarkStart w:id="74" w:name="_Toc486413517"/>
                      <w:bookmarkStart w:id="75" w:name="_Toc467246323"/>
                      <w:r w:rsidRPr="00265F1A">
                        <w:rPr>
                          <w:iCs/>
                          <w:lang w:val="pl-PL"/>
                        </w:rPr>
                        <w:t>Tabela 6</w:t>
                      </w:r>
                      <w:r>
                        <w:rPr>
                          <w:iCs/>
                          <w:lang w:val="pl-PL"/>
                        </w:rPr>
                        <w:t>.</w:t>
                      </w:r>
                      <w:r w:rsidRPr="00265F1A">
                        <w:rPr>
                          <w:iCs/>
                          <w:lang w:val="pl-PL"/>
                        </w:rPr>
                        <w:t xml:space="preserve"> </w:t>
                      </w:r>
                      <w:bookmarkStart w:id="76" w:name="Sixth_table"/>
                      <w:r>
                        <w:rPr>
                          <w:iCs/>
                          <w:lang w:val="pl-PL"/>
                        </w:rPr>
                        <w:t>W</w:t>
                      </w:r>
                      <w:r w:rsidRPr="00265F1A">
                        <w:rPr>
                          <w:iCs/>
                          <w:lang w:val="pl-PL"/>
                        </w:rPr>
                        <w:t>yliczenie salda środków pieniężny</w:t>
                      </w:r>
                      <w:bookmarkEnd w:id="74"/>
                      <w:bookmarkEnd w:id="75"/>
                      <w:r w:rsidRPr="00265F1A">
                        <w:rPr>
                          <w:iCs/>
                          <w:lang w:val="pl-PL"/>
                        </w:rPr>
                        <w:t>ch</w:t>
                      </w:r>
                    </w:p>
                    <w:tbl>
                      <w:tblPr>
                        <w:tblStyle w:val="Tabela-Siatka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6757"/>
                        <w:gridCol w:w="1675"/>
                      </w:tblGrid>
                      <w:tr w:rsidR="00C522D7" w:rsidRPr="007F2584" w:rsidTr="00A71EB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6"/>
                        </w:trPr>
                        <w:tc>
                          <w:tcPr>
                            <w:tcW w:w="5000" w:type="pct"/>
                            <w:gridSpan w:val="2"/>
                            <w:vAlign w:val="center"/>
                          </w:tcPr>
                          <w:bookmarkEnd w:id="76"/>
                          <w:p w:rsidR="00C522D7" w:rsidRPr="00265F1A" w:rsidRDefault="00C522D7" w:rsidP="00D56C8D">
                            <w:pPr>
                              <w:tabs>
                                <w:tab w:val="left" w:pos="5415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bCs/>
                                <w:sz w:val="18"/>
                                <w:szCs w:val="18"/>
                                <w:lang w:val="pl-PL"/>
                              </w:rPr>
                              <w:t>Wyliczenie salda środków pieniężnych: FRO z dnia 15 września</w:t>
                            </w:r>
                          </w:p>
                          <w:p w:rsidR="00C522D7" w:rsidRPr="00265F1A" w:rsidRDefault="00C522D7" w:rsidP="00D56C8D">
                            <w:pPr>
                              <w:tabs>
                                <w:tab w:val="left" w:pos="5415"/>
                              </w:tabs>
                              <w:jc w:val="center"/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ED13FE" w:rsidTr="00A71EB5">
                        <w:trPr>
                          <w:trHeight w:val="233"/>
                        </w:trPr>
                        <w:tc>
                          <w:tcPr>
                            <w:tcW w:w="4007" w:type="pct"/>
                            <w:vAlign w:val="center"/>
                          </w:tcPr>
                          <w:p w:rsidR="00C522D7" w:rsidRPr="00265F1A" w:rsidRDefault="00C522D7" w:rsidP="00BF0DB0">
                            <w:pPr>
                              <w:tabs>
                                <w:tab w:val="left" w:pos="5415"/>
                              </w:tabs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Prognozowane wydatki kwalifikowalne na następny okres sprawozdawczy (od dnia 1 listopada do dnia 30 kwietnia)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C522D7" w:rsidRPr="00ED13FE" w:rsidRDefault="00C522D7" w:rsidP="00B9410B">
                            <w:pPr>
                              <w:tabs>
                                <w:tab w:val="left" w:pos="5415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+ 800.000 euro</w:t>
                            </w:r>
                          </w:p>
                        </w:tc>
                      </w:tr>
                      <w:tr w:rsidR="00C522D7" w:rsidRPr="00ED13FE" w:rsidTr="00A71EB5">
                        <w:trPr>
                          <w:trHeight w:val="246"/>
                        </w:trPr>
                        <w:tc>
                          <w:tcPr>
                            <w:tcW w:w="4007" w:type="pct"/>
                            <w:vAlign w:val="center"/>
                          </w:tcPr>
                          <w:p w:rsidR="00C522D7" w:rsidRPr="00265F1A" w:rsidRDefault="00C522D7" w:rsidP="00767038">
                            <w:pPr>
                              <w:tabs>
                                <w:tab w:val="left" w:pos="5415"/>
                              </w:tabs>
                              <w:ind w:left="284" w:hanging="284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 Uprzednio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zaproponowane wydatki kwalifikowalne do dnia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31 października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C522D7" w:rsidRPr="00ED13FE" w:rsidRDefault="00C522D7" w:rsidP="00B9410B">
                            <w:pPr>
                              <w:tabs>
                                <w:tab w:val="left" w:pos="5415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- 1.000.000 euro</w:t>
                            </w:r>
                          </w:p>
                        </w:tc>
                      </w:tr>
                      <w:tr w:rsidR="00C522D7" w:rsidRPr="00ED13FE" w:rsidTr="00A71EB5">
                        <w:trPr>
                          <w:trHeight w:val="233"/>
                        </w:trPr>
                        <w:tc>
                          <w:tcPr>
                            <w:tcW w:w="4007" w:type="pct"/>
                            <w:vAlign w:val="center"/>
                          </w:tcPr>
                          <w:p w:rsidR="00C522D7" w:rsidRPr="00265F1A" w:rsidRDefault="00C522D7" w:rsidP="00767038">
                            <w:pPr>
                              <w:tabs>
                                <w:tab w:val="left" w:pos="5415"/>
                              </w:tabs>
                              <w:ind w:left="284" w:hanging="284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+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Całkowite poniesione wydatki kwalifikowalne zgłoszone do dnia 30 czerwca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C522D7" w:rsidRPr="00ED13FE" w:rsidRDefault="00C522D7" w:rsidP="001D0157">
                            <w:pPr>
                              <w:tabs>
                                <w:tab w:val="left" w:pos="5415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+ 600.000 euro</w:t>
                            </w:r>
                          </w:p>
                        </w:tc>
                      </w:tr>
                      <w:tr w:rsidR="00C522D7" w:rsidRPr="00ED13FE" w:rsidTr="00A71EB5">
                        <w:trPr>
                          <w:trHeight w:val="246"/>
                        </w:trPr>
                        <w:tc>
                          <w:tcPr>
                            <w:tcW w:w="4007" w:type="pct"/>
                            <w:vAlign w:val="center"/>
                          </w:tcPr>
                          <w:p w:rsidR="00C522D7" w:rsidRPr="00265F1A" w:rsidRDefault="00C522D7" w:rsidP="00767038">
                            <w:pPr>
                              <w:tabs>
                                <w:tab w:val="left" w:pos="5415"/>
                              </w:tabs>
                              <w:ind w:left="284" w:hanging="284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+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Prognozowane wydatki kwalifikowalne za okres od dnia 30 czerwca do dnia 31 października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C522D7" w:rsidRPr="00ED13FE" w:rsidRDefault="00C522D7" w:rsidP="00B9410B">
                            <w:pPr>
                              <w:tabs>
                                <w:tab w:val="left" w:pos="5415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+ 100.000 euro</w:t>
                            </w:r>
                          </w:p>
                        </w:tc>
                      </w:tr>
                      <w:tr w:rsidR="00C522D7" w:rsidRPr="00ED13FE" w:rsidTr="00A71EB5">
                        <w:trPr>
                          <w:trHeight w:val="480"/>
                        </w:trPr>
                        <w:tc>
                          <w:tcPr>
                            <w:tcW w:w="4007" w:type="pct"/>
                            <w:vAlign w:val="center"/>
                          </w:tcPr>
                          <w:p w:rsidR="00C522D7" w:rsidRPr="00265F1A" w:rsidRDefault="00C522D7" w:rsidP="00BF0DB0">
                            <w:pPr>
                              <w:tabs>
                                <w:tab w:val="left" w:pos="5415"/>
                              </w:tabs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 xml:space="preserve">Proponowane wydatki kwalifikowalne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 xml:space="preserve">we FRO </w:t>
                            </w:r>
                            <w:r w:rsidRPr="00265F1A"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na następny okres sprawozdawczy (od dnia 1 listopada do dnia 30 kwietnia)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C522D7" w:rsidRPr="00ED13FE" w:rsidRDefault="00C522D7" w:rsidP="00B9410B">
                            <w:pPr>
                              <w:tabs>
                                <w:tab w:val="left" w:pos="5415"/>
                              </w:tabs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500.000 euro</w:t>
                            </w:r>
                          </w:p>
                        </w:tc>
                      </w:tr>
                    </w:tbl>
                    <w:p w:rsidR="00C522D7" w:rsidRPr="00ED13FE" w:rsidRDefault="00C522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774" w:rsidRPr="00767038">
        <w:rPr>
          <w:lang w:val="pl-PL"/>
        </w:rPr>
        <w:t>Po drugie</w:t>
      </w:r>
      <w:r w:rsidR="0095346A" w:rsidRPr="00767038">
        <w:rPr>
          <w:lang w:val="pl-PL"/>
        </w:rPr>
        <w:t xml:space="preserve">, </w:t>
      </w:r>
      <w:r w:rsidR="00315981" w:rsidRPr="00767038">
        <w:rPr>
          <w:lang w:val="pl-PL"/>
        </w:rPr>
        <w:t>Operator Programu</w:t>
      </w:r>
      <w:r w:rsidR="006D1774" w:rsidRPr="00767038">
        <w:rPr>
          <w:lang w:val="pl-PL"/>
        </w:rPr>
        <w:t xml:space="preserve"> przedkłada zestawienie proponowanych wydatków za okres </w:t>
      </w:r>
      <w:r w:rsidR="00BF0DB0" w:rsidRPr="00767038">
        <w:rPr>
          <w:lang w:val="pl-PL"/>
        </w:rPr>
        <w:t>sprawozdawczy</w:t>
      </w:r>
      <w:r w:rsidR="006D1774" w:rsidRPr="00767038">
        <w:rPr>
          <w:lang w:val="pl-PL"/>
        </w:rPr>
        <w:t xml:space="preserve"> </w:t>
      </w:r>
      <w:r w:rsidR="003C2C08" w:rsidRPr="00767038">
        <w:rPr>
          <w:lang w:val="pl-PL"/>
        </w:rPr>
        <w:t xml:space="preserve">przypadający </w:t>
      </w:r>
      <w:r w:rsidR="006D1774" w:rsidRPr="00767038">
        <w:rPr>
          <w:lang w:val="pl-PL"/>
        </w:rPr>
        <w:t xml:space="preserve">bezpośrednio po terminie przesłania raportu </w:t>
      </w:r>
      <w:r w:rsidR="0095346A" w:rsidRPr="00767038">
        <w:rPr>
          <w:lang w:val="pl-PL"/>
        </w:rPr>
        <w:t>(</w:t>
      </w:r>
      <w:r w:rsidR="006D1774" w:rsidRPr="00767038">
        <w:rPr>
          <w:lang w:val="pl-PL"/>
        </w:rPr>
        <w:t>tj. jeżeli termin przesłania raport</w:t>
      </w:r>
      <w:r w:rsidR="00384E5A" w:rsidRPr="00767038">
        <w:rPr>
          <w:lang w:val="pl-PL"/>
        </w:rPr>
        <w:t>u</w:t>
      </w:r>
      <w:r w:rsidR="006D1774" w:rsidRPr="00767038">
        <w:rPr>
          <w:lang w:val="pl-PL"/>
        </w:rPr>
        <w:t xml:space="preserve"> wypada dnia 15 września, proponowane wydatki obejmują okres od dnia 1 listopada do dnia 30 kwietnia</w:t>
      </w:r>
      <w:r w:rsidR="0095346A" w:rsidRPr="00767038">
        <w:rPr>
          <w:lang w:val="pl-PL"/>
        </w:rPr>
        <w:t>).</w:t>
      </w:r>
      <w:r w:rsidR="006D1774" w:rsidRPr="00767038">
        <w:rPr>
          <w:lang w:val="pl-PL"/>
        </w:rPr>
        <w:t xml:space="preserve"> Wszystkie kwoty w tej sekcji </w:t>
      </w:r>
      <w:r w:rsidR="003C2C08" w:rsidRPr="00767038">
        <w:rPr>
          <w:lang w:val="pl-PL"/>
        </w:rPr>
        <w:t>wyrażone są</w:t>
      </w:r>
      <w:r w:rsidR="006D1774" w:rsidRPr="00767038">
        <w:rPr>
          <w:lang w:val="pl-PL"/>
        </w:rPr>
        <w:t xml:space="preserve"> w euro</w:t>
      </w:r>
      <w:r w:rsidR="0095346A" w:rsidRPr="00767038">
        <w:rPr>
          <w:lang w:val="pl-PL"/>
        </w:rPr>
        <w:t xml:space="preserve">. BMF będzie wypłacać część dofinansowania zaproponowanych wydatków, chyba że wydatki zaproponowane przez </w:t>
      </w:r>
      <w:r w:rsidR="00315981" w:rsidRPr="00767038">
        <w:rPr>
          <w:lang w:val="pl-PL"/>
        </w:rPr>
        <w:t>Operator</w:t>
      </w:r>
      <w:r w:rsidR="003C2C08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95346A" w:rsidRPr="00767038">
        <w:rPr>
          <w:lang w:val="pl-PL"/>
        </w:rPr>
        <w:t xml:space="preserve"> zostaną uznane za nieuzasadnione. </w:t>
      </w:r>
      <w:r w:rsidR="00B9410B" w:rsidRPr="00767038">
        <w:rPr>
          <w:lang w:val="pl-PL"/>
        </w:rPr>
        <w:t xml:space="preserve">Przy zatwierdzaniu </w:t>
      </w:r>
      <w:r w:rsidR="003C2C08" w:rsidRPr="00767038">
        <w:rPr>
          <w:lang w:val="pl-PL"/>
        </w:rPr>
        <w:t>wniosku</w:t>
      </w:r>
      <w:r w:rsidR="00B9410B" w:rsidRPr="00767038">
        <w:rPr>
          <w:lang w:val="pl-PL"/>
        </w:rPr>
        <w:t xml:space="preserve"> należy także rozważyć uprzednio wypłaconą kwotę środków finansowych, które nie zostały wykorzystane</w:t>
      </w:r>
      <w:r w:rsidR="0095346A" w:rsidRPr="00767038">
        <w:rPr>
          <w:lang w:val="pl-PL"/>
        </w:rPr>
        <w:t>.</w:t>
      </w:r>
    </w:p>
    <w:p w:rsidR="008C2068" w:rsidRDefault="008C2068" w:rsidP="00376576">
      <w:pPr>
        <w:rPr>
          <w:lang w:val="pl-PL"/>
        </w:rPr>
      </w:pPr>
    </w:p>
    <w:p w:rsidR="00147D69" w:rsidRPr="00767038" w:rsidRDefault="00BF0DB0" w:rsidP="00376576">
      <w:pPr>
        <w:rPr>
          <w:lang w:val="pl-PL"/>
        </w:rPr>
      </w:pPr>
      <w:r w:rsidRPr="00767038">
        <w:rPr>
          <w:lang w:val="pl-PL"/>
        </w:rPr>
        <w:t>Po trzecie</w:t>
      </w:r>
      <w:r w:rsidR="00147D69" w:rsidRPr="00767038">
        <w:rPr>
          <w:lang w:val="pl-PL"/>
        </w:rPr>
        <w:t xml:space="preserve">, </w:t>
      </w:r>
      <w:r w:rsidRPr="00767038">
        <w:rPr>
          <w:lang w:val="pl-PL"/>
        </w:rPr>
        <w:t xml:space="preserve">FRO dostarcza informacji na temat postępu w realizacji </w:t>
      </w:r>
      <w:r w:rsidR="00CF6277" w:rsidRPr="00767038">
        <w:rPr>
          <w:lang w:val="pl-PL"/>
        </w:rPr>
        <w:t xml:space="preserve">rezultatów </w:t>
      </w:r>
      <w:r w:rsidRPr="00767038">
        <w:rPr>
          <w:lang w:val="pl-PL"/>
        </w:rPr>
        <w:t>i celów, o których mowa we wzorze.</w:t>
      </w:r>
    </w:p>
    <w:p w:rsidR="005D0B75" w:rsidRPr="00767038" w:rsidRDefault="00CF6277" w:rsidP="00376576">
      <w:pPr>
        <w:rPr>
          <w:lang w:val="pl-PL"/>
        </w:rPr>
      </w:pPr>
      <w:r w:rsidRPr="00767038">
        <w:rPr>
          <w:lang w:val="pl-PL"/>
        </w:rPr>
        <w:t xml:space="preserve">Do </w:t>
      </w:r>
      <w:r w:rsidR="00BF0DB0" w:rsidRPr="00767038">
        <w:rPr>
          <w:lang w:val="pl-PL"/>
        </w:rPr>
        <w:t>zatwierdz</w:t>
      </w:r>
      <w:r w:rsidRPr="00767038">
        <w:rPr>
          <w:lang w:val="pl-PL"/>
        </w:rPr>
        <w:t>enia</w:t>
      </w:r>
      <w:r w:rsidR="00BF0DB0" w:rsidRPr="00767038">
        <w:rPr>
          <w:lang w:val="pl-PL"/>
        </w:rPr>
        <w:t xml:space="preserve"> płatnoś</w:t>
      </w:r>
      <w:r w:rsidRPr="00767038">
        <w:rPr>
          <w:lang w:val="pl-PL"/>
        </w:rPr>
        <w:t>ci</w:t>
      </w:r>
      <w:r w:rsidR="00BF0DB0" w:rsidRPr="00767038">
        <w:rPr>
          <w:lang w:val="pl-PL"/>
        </w:rPr>
        <w:t xml:space="preserve"> konieczne jest spełnienie warunków określonych w </w:t>
      </w:r>
      <w:r w:rsidRPr="00767038">
        <w:rPr>
          <w:lang w:val="pl-PL"/>
        </w:rPr>
        <w:t xml:space="preserve">Regulacjach </w:t>
      </w:r>
      <w:r w:rsidR="00BF0DB0" w:rsidRPr="00767038">
        <w:rPr>
          <w:lang w:val="pl-PL"/>
        </w:rPr>
        <w:t xml:space="preserve">i </w:t>
      </w:r>
      <w:r w:rsidRPr="00767038">
        <w:rPr>
          <w:lang w:val="pl-PL"/>
        </w:rPr>
        <w:t>Umowie w sprawie programu</w:t>
      </w:r>
      <w:r w:rsidR="002D0503" w:rsidRPr="00767038">
        <w:rPr>
          <w:lang w:val="pl-PL"/>
        </w:rPr>
        <w:t xml:space="preserve">. </w:t>
      </w:r>
      <w:r w:rsidR="00BF0DB0" w:rsidRPr="00767038">
        <w:rPr>
          <w:lang w:val="pl-PL"/>
        </w:rPr>
        <w:t xml:space="preserve">BMF przedstawi KPK, IC i </w:t>
      </w:r>
      <w:r w:rsidR="00315981" w:rsidRPr="00767038">
        <w:rPr>
          <w:lang w:val="pl-PL"/>
        </w:rPr>
        <w:t>Operator</w:t>
      </w:r>
      <w:r w:rsidRPr="00767038">
        <w:rPr>
          <w:lang w:val="pl-PL"/>
        </w:rPr>
        <w:t>owi</w:t>
      </w:r>
      <w:r w:rsidR="00315981" w:rsidRPr="00767038">
        <w:rPr>
          <w:lang w:val="pl-PL"/>
        </w:rPr>
        <w:t xml:space="preserve"> Programu</w:t>
      </w:r>
      <w:r w:rsidR="00BF0DB0" w:rsidRPr="00767038">
        <w:rPr>
          <w:lang w:val="pl-PL"/>
        </w:rPr>
        <w:t xml:space="preserve"> uzasadnienie wszelkich korekt/zmian we wniosku o płatność</w:t>
      </w:r>
      <w:r w:rsidR="002D0503" w:rsidRPr="00767038">
        <w:rPr>
          <w:lang w:val="pl-PL"/>
        </w:rPr>
        <w:t>.</w:t>
      </w:r>
      <w:r w:rsidR="00BF0DB0" w:rsidRPr="00767038">
        <w:rPr>
          <w:lang w:val="pl-PL"/>
        </w:rPr>
        <w:t xml:space="preserve"> Załącznik</w:t>
      </w:r>
      <w:r w:rsidRPr="00767038">
        <w:rPr>
          <w:lang w:val="pl-PL"/>
        </w:rPr>
        <w:t xml:space="preserve"> </w:t>
      </w:r>
      <w:r w:rsidR="00BF0DB0" w:rsidRPr="00767038">
        <w:rPr>
          <w:lang w:val="pl-PL"/>
        </w:rPr>
        <w:t>5.3</w:t>
      </w:r>
      <w:r w:rsidR="00384E5A" w:rsidRPr="00767038">
        <w:rPr>
          <w:lang w:val="pl-PL"/>
        </w:rPr>
        <w:t xml:space="preserve"> </w:t>
      </w:r>
      <w:r w:rsidR="00BF0DB0" w:rsidRPr="00767038">
        <w:rPr>
          <w:lang w:val="pl-PL"/>
        </w:rPr>
        <w:t>zawiera schemat przedstawiający okres</w:t>
      </w:r>
      <w:r w:rsidRPr="00767038">
        <w:rPr>
          <w:lang w:val="pl-PL"/>
        </w:rPr>
        <w:t>y</w:t>
      </w:r>
      <w:r w:rsidR="00BF0DB0" w:rsidRPr="00767038">
        <w:rPr>
          <w:lang w:val="pl-PL"/>
        </w:rPr>
        <w:t xml:space="preserve"> sprawozdawcz</w:t>
      </w:r>
      <w:r w:rsidRPr="00767038">
        <w:rPr>
          <w:lang w:val="pl-PL"/>
        </w:rPr>
        <w:t>e</w:t>
      </w:r>
      <w:r w:rsidR="00BF0DB0" w:rsidRPr="00767038">
        <w:rPr>
          <w:lang w:val="pl-PL"/>
        </w:rPr>
        <w:t xml:space="preserve"> </w:t>
      </w:r>
      <w:r w:rsidRPr="00767038">
        <w:rPr>
          <w:lang w:val="pl-PL"/>
        </w:rPr>
        <w:t>oraz</w:t>
      </w:r>
      <w:r w:rsidR="00BF0DB0" w:rsidRPr="00767038">
        <w:rPr>
          <w:lang w:val="pl-PL"/>
        </w:rPr>
        <w:t xml:space="preserve"> strukturę</w:t>
      </w:r>
      <w:r w:rsidRPr="00767038">
        <w:rPr>
          <w:lang w:val="pl-PL"/>
        </w:rPr>
        <w:t xml:space="preserve"> procesu wnioskowania o płatności</w:t>
      </w:r>
      <w:r w:rsidR="002D0503" w:rsidRPr="00767038">
        <w:rPr>
          <w:lang w:val="pl-PL"/>
        </w:rPr>
        <w:t>.</w:t>
      </w:r>
    </w:p>
    <w:p w:rsidR="005D0B75" w:rsidRPr="00767038" w:rsidRDefault="00BF0DB0" w:rsidP="00376576">
      <w:pPr>
        <w:rPr>
          <w:lang w:val="pl-PL"/>
        </w:rPr>
      </w:pPr>
      <w:r w:rsidRPr="00767038">
        <w:rPr>
          <w:lang w:val="pl-PL"/>
        </w:rPr>
        <w:t>Raport</w:t>
      </w:r>
      <w:r w:rsidR="00CF6277" w:rsidRPr="00767038">
        <w:rPr>
          <w:lang w:val="pl-PL"/>
        </w:rPr>
        <w:t>owanie</w:t>
      </w:r>
      <w:r w:rsidRPr="00767038">
        <w:rPr>
          <w:lang w:val="pl-PL"/>
        </w:rPr>
        <w:t xml:space="preserve"> </w:t>
      </w:r>
      <w:r w:rsidR="00CF6277" w:rsidRPr="00767038">
        <w:rPr>
          <w:lang w:val="pl-PL"/>
        </w:rPr>
        <w:t xml:space="preserve">o </w:t>
      </w:r>
      <w:r w:rsidRPr="00767038">
        <w:rPr>
          <w:lang w:val="pl-PL"/>
        </w:rPr>
        <w:t>poniesionych wydatk</w:t>
      </w:r>
      <w:r w:rsidR="00CF6277" w:rsidRPr="00767038">
        <w:rPr>
          <w:lang w:val="pl-PL"/>
        </w:rPr>
        <w:t>ach oraz</w:t>
      </w:r>
      <w:r w:rsidRPr="00767038">
        <w:rPr>
          <w:lang w:val="pl-PL"/>
        </w:rPr>
        <w:t xml:space="preserve"> proponowanych wydatk</w:t>
      </w:r>
      <w:r w:rsidR="00CF6277" w:rsidRPr="00767038">
        <w:rPr>
          <w:lang w:val="pl-PL"/>
        </w:rPr>
        <w:t>ach</w:t>
      </w:r>
      <w:r w:rsidRPr="00767038">
        <w:rPr>
          <w:lang w:val="pl-PL"/>
        </w:rPr>
        <w:t xml:space="preserve"> </w:t>
      </w:r>
      <w:r w:rsidR="00CF6277" w:rsidRPr="00767038">
        <w:rPr>
          <w:lang w:val="pl-PL"/>
        </w:rPr>
        <w:t>powin</w:t>
      </w:r>
      <w:r w:rsidR="00111A0D">
        <w:rPr>
          <w:lang w:val="pl-PL"/>
        </w:rPr>
        <w:t>no</w:t>
      </w:r>
      <w:r w:rsidR="00CF6277" w:rsidRPr="00767038">
        <w:rPr>
          <w:lang w:val="pl-PL"/>
        </w:rPr>
        <w:t xml:space="preserve"> być przygotowan</w:t>
      </w:r>
      <w:r w:rsidR="00111A0D">
        <w:rPr>
          <w:lang w:val="pl-PL"/>
        </w:rPr>
        <w:t>e</w:t>
      </w:r>
      <w:r w:rsidR="00CF6277" w:rsidRPr="00767038">
        <w:rPr>
          <w:lang w:val="pl-PL"/>
        </w:rPr>
        <w:t xml:space="preserve"> w po</w:t>
      </w:r>
      <w:r w:rsidRPr="00767038">
        <w:rPr>
          <w:lang w:val="pl-PL"/>
        </w:rPr>
        <w:t>dzi</w:t>
      </w:r>
      <w:r w:rsidR="00CF6277" w:rsidRPr="00767038">
        <w:rPr>
          <w:lang w:val="pl-PL"/>
        </w:rPr>
        <w:t>ale na</w:t>
      </w:r>
      <w:r w:rsidRPr="00767038">
        <w:rPr>
          <w:lang w:val="pl-PL"/>
        </w:rPr>
        <w:t xml:space="preserve"> </w:t>
      </w:r>
      <w:r w:rsidR="00CF6277" w:rsidRPr="00767038">
        <w:rPr>
          <w:lang w:val="pl-PL"/>
        </w:rPr>
        <w:t>linie/</w:t>
      </w:r>
      <w:r w:rsidRPr="00767038">
        <w:rPr>
          <w:lang w:val="pl-PL"/>
        </w:rPr>
        <w:t>pozycj</w:t>
      </w:r>
      <w:r w:rsidR="00CF6277" w:rsidRPr="00767038">
        <w:rPr>
          <w:lang w:val="pl-PL"/>
        </w:rPr>
        <w:t>e</w:t>
      </w:r>
      <w:r w:rsidRPr="00767038">
        <w:rPr>
          <w:lang w:val="pl-PL"/>
        </w:rPr>
        <w:t xml:space="preserve"> budżetow</w:t>
      </w:r>
      <w:r w:rsidR="00CF6277" w:rsidRPr="00767038">
        <w:rPr>
          <w:lang w:val="pl-PL"/>
        </w:rPr>
        <w:t>e</w:t>
      </w:r>
      <w:r w:rsidRPr="00767038">
        <w:rPr>
          <w:lang w:val="pl-PL"/>
        </w:rPr>
        <w:t xml:space="preserve"> </w:t>
      </w:r>
      <w:r w:rsidR="00433A21" w:rsidRPr="00767038">
        <w:rPr>
          <w:lang w:val="pl-PL"/>
        </w:rPr>
        <w:t>wskazane w Umowie w sprawie programu</w:t>
      </w:r>
      <w:r w:rsidR="005D0B75" w:rsidRPr="00767038">
        <w:rPr>
          <w:lang w:val="pl-PL"/>
        </w:rPr>
        <w:t xml:space="preserve">. </w:t>
      </w:r>
    </w:p>
    <w:p w:rsidR="005D0B75" w:rsidRDefault="00BF0DB0" w:rsidP="00376576">
      <w:pPr>
        <w:rPr>
          <w:lang w:val="pl-PL"/>
        </w:rPr>
      </w:pPr>
      <w:r w:rsidRPr="00767038">
        <w:rPr>
          <w:lang w:val="pl-PL"/>
        </w:rPr>
        <w:t xml:space="preserve">FRO otrzymane po </w:t>
      </w:r>
      <w:r w:rsidR="00433A21" w:rsidRPr="00767038">
        <w:rPr>
          <w:lang w:val="pl-PL"/>
        </w:rPr>
        <w:t xml:space="preserve">określonej </w:t>
      </w:r>
      <w:r w:rsidRPr="00767038">
        <w:rPr>
          <w:lang w:val="pl-PL"/>
        </w:rPr>
        <w:t>dacie wymagalności, lecz w</w:t>
      </w:r>
      <w:r w:rsidR="00111A0D">
        <w:rPr>
          <w:lang w:val="pl-PL"/>
        </w:rPr>
        <w:t>/</w:t>
      </w:r>
      <w:r w:rsidRPr="00767038">
        <w:rPr>
          <w:lang w:val="pl-PL"/>
        </w:rPr>
        <w:t xml:space="preserve">lub przed kolejnym terminem będą rozpatrywane przez BMF, jakby raport został otrzymany w kolejnym terminie </w:t>
      </w:r>
      <w:r w:rsidR="00433A21" w:rsidRPr="00767038">
        <w:rPr>
          <w:lang w:val="pl-PL"/>
        </w:rPr>
        <w:t xml:space="preserve">jego </w:t>
      </w:r>
      <w:r w:rsidR="00433A21" w:rsidRPr="00767038">
        <w:rPr>
          <w:lang w:val="pl-PL"/>
        </w:rPr>
        <w:lastRenderedPageBreak/>
        <w:t>składania</w:t>
      </w:r>
      <w:r w:rsidRPr="00767038">
        <w:rPr>
          <w:lang w:val="pl-PL"/>
        </w:rPr>
        <w:t xml:space="preserve">. </w:t>
      </w:r>
      <w:r w:rsidR="00433A21" w:rsidRPr="00767038">
        <w:rPr>
          <w:lang w:val="pl-PL"/>
        </w:rPr>
        <w:t>Jeżeli</w:t>
      </w:r>
      <w:r w:rsidRPr="00767038">
        <w:rPr>
          <w:lang w:val="pl-PL"/>
        </w:rPr>
        <w:t xml:space="preserve"> FRO </w:t>
      </w:r>
      <w:r w:rsidR="00433A21" w:rsidRPr="00767038">
        <w:rPr>
          <w:lang w:val="pl-PL"/>
        </w:rPr>
        <w:t xml:space="preserve">nie </w:t>
      </w:r>
      <w:r w:rsidR="00A35E94" w:rsidRPr="00767038">
        <w:rPr>
          <w:lang w:val="pl-PL"/>
        </w:rPr>
        <w:t>zostanie</w:t>
      </w:r>
      <w:r w:rsidR="00433A21" w:rsidRPr="00767038">
        <w:rPr>
          <w:lang w:val="pl-PL"/>
        </w:rPr>
        <w:t xml:space="preserve"> złożony </w:t>
      </w:r>
      <w:r w:rsidRPr="00767038">
        <w:rPr>
          <w:lang w:val="pl-PL"/>
        </w:rPr>
        <w:t xml:space="preserve">w ciągu dwunastu miesięcy od </w:t>
      </w:r>
      <w:r w:rsidR="00433A21" w:rsidRPr="00767038">
        <w:rPr>
          <w:lang w:val="pl-PL"/>
        </w:rPr>
        <w:t xml:space="preserve">zakończenia </w:t>
      </w:r>
      <w:r w:rsidRPr="00767038">
        <w:rPr>
          <w:lang w:val="pl-PL"/>
        </w:rPr>
        <w:t xml:space="preserve">okresu sprawozdawczego, w którym wydatki zostały poniesione przez </w:t>
      </w:r>
      <w:r w:rsidR="00315981" w:rsidRPr="00767038">
        <w:rPr>
          <w:lang w:val="pl-PL"/>
        </w:rPr>
        <w:t>Operator</w:t>
      </w:r>
      <w:r w:rsidR="00433A21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, wydatki za ten okres zostaną uznane za niekwalifikowalne i </w:t>
      </w:r>
      <w:r w:rsidR="00433A21" w:rsidRPr="00767038">
        <w:rPr>
          <w:lang w:val="pl-PL"/>
        </w:rPr>
        <w:t xml:space="preserve">zostaną </w:t>
      </w:r>
      <w:r w:rsidRPr="00767038">
        <w:rPr>
          <w:lang w:val="pl-PL"/>
        </w:rPr>
        <w:t>anulowane</w:t>
      </w:r>
      <w:r w:rsidR="005D0B75" w:rsidRPr="00767038">
        <w:rPr>
          <w:lang w:val="pl-PL"/>
        </w:rPr>
        <w:t>.</w:t>
      </w:r>
      <w:r w:rsidR="005D0B75" w:rsidRPr="00767038">
        <w:rPr>
          <w:rStyle w:val="Odwoanieprzypisudolnego"/>
          <w:lang w:val="pl-PL"/>
        </w:rPr>
        <w:footnoteReference w:id="14"/>
      </w:r>
    </w:p>
    <w:p w:rsidR="009F69D0" w:rsidRPr="00767038" w:rsidRDefault="009F69D0" w:rsidP="00376576">
      <w:pPr>
        <w:rPr>
          <w:lang w:val="pl-PL"/>
        </w:rPr>
      </w:pPr>
      <w:r>
        <w:rPr>
          <w:lang w:val="pl-PL"/>
        </w:rPr>
        <w:t xml:space="preserve">W uzasadnionych przypadkach, poniesione wydatki z poprzednich okresów mogą zostać zaraportowane </w:t>
      </w:r>
      <w:r w:rsidR="00BC0FB9">
        <w:rPr>
          <w:lang w:val="pl-PL"/>
        </w:rPr>
        <w:t>w kolejnym okresie</w:t>
      </w:r>
      <w:r w:rsidR="00BC0FB9">
        <w:rPr>
          <w:rStyle w:val="Odwoanieprzypisudolnego"/>
          <w:lang w:val="pl-PL"/>
        </w:rPr>
        <w:footnoteReference w:id="15"/>
      </w:r>
      <w:r>
        <w:rPr>
          <w:lang w:val="pl-PL"/>
        </w:rPr>
        <w:t xml:space="preserve">, pod warunkiem, że FRO za tamten okres został złożony. Taką sytuację należy wyjaśnić w FRO.  </w:t>
      </w:r>
    </w:p>
    <w:p w:rsidR="005D0B75" w:rsidRPr="00767038" w:rsidRDefault="00BF0DB0" w:rsidP="00376576">
      <w:pPr>
        <w:rPr>
          <w:lang w:val="pl-PL"/>
        </w:rPr>
      </w:pPr>
      <w:r w:rsidRPr="00767038">
        <w:rPr>
          <w:lang w:val="pl-PL"/>
        </w:rPr>
        <w:t>W przypadku rozbieżności w płatnościach wynikających z błędnych zaokrągleń i nieprzekraczających łącznie 50 euro odpowiednie kwoty uwzględnia się w wyliczeniu salda końcowego</w:t>
      </w:r>
      <w:r w:rsidR="005D0B75" w:rsidRPr="00767038">
        <w:rPr>
          <w:lang w:val="pl-PL"/>
        </w:rPr>
        <w:t>.</w:t>
      </w:r>
    </w:p>
    <w:p w:rsidR="005D0B75" w:rsidRDefault="00BF0DB0" w:rsidP="00376576">
      <w:pPr>
        <w:rPr>
          <w:lang w:val="pl-PL"/>
        </w:rPr>
      </w:pPr>
      <w:r w:rsidRPr="00767038">
        <w:rPr>
          <w:lang w:val="pl-PL"/>
        </w:rPr>
        <w:t>Rozdział 4.1 zawiera informacje na temat salda końcowego</w:t>
      </w:r>
      <w:r w:rsidR="001E3875" w:rsidRPr="00767038">
        <w:rPr>
          <w:lang w:val="pl-PL"/>
        </w:rPr>
        <w:t>.</w:t>
      </w:r>
    </w:p>
    <w:p w:rsidR="008C2068" w:rsidRPr="00767038" w:rsidRDefault="008C2068" w:rsidP="00376576">
      <w:pPr>
        <w:rPr>
          <w:lang w:val="pl-PL"/>
        </w:rPr>
      </w:pPr>
    </w:p>
    <w:p w:rsidR="00EA0104" w:rsidRPr="00767038" w:rsidRDefault="00BF0DB0" w:rsidP="00A0039A">
      <w:pPr>
        <w:pStyle w:val="Nagwek2"/>
        <w:rPr>
          <w:lang w:val="pl-PL"/>
        </w:rPr>
      </w:pPr>
      <w:bookmarkStart w:id="77" w:name="_Ref461629932"/>
      <w:bookmarkStart w:id="78" w:name="_Toc505238515"/>
      <w:r w:rsidRPr="00767038">
        <w:rPr>
          <w:iCs/>
          <w:lang w:val="pl-PL"/>
        </w:rPr>
        <w:t>Poświadczanie wydatków przez IC</w:t>
      </w:r>
      <w:r w:rsidR="00897823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897823" w:rsidRPr="00767038">
        <w:rPr>
          <w:iCs/>
          <w:lang w:val="pl-PL"/>
        </w:rPr>
        <w:t>rt. 5.4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897823" w:rsidRPr="00767038">
        <w:rPr>
          <w:iCs/>
          <w:lang w:val="pl-PL"/>
        </w:rPr>
        <w:t>)</w:t>
      </w:r>
      <w:bookmarkEnd w:id="77"/>
      <w:bookmarkEnd w:id="78"/>
    </w:p>
    <w:p w:rsidR="00790E08" w:rsidRPr="00767038" w:rsidRDefault="00BF0DB0" w:rsidP="00C27B08">
      <w:pPr>
        <w:pStyle w:val="Nagwek3"/>
        <w:rPr>
          <w:lang w:val="pl-PL"/>
        </w:rPr>
      </w:pPr>
      <w:r w:rsidRPr="00767038">
        <w:rPr>
          <w:lang w:val="pl-PL"/>
        </w:rPr>
        <w:t>Cel</w:t>
      </w:r>
    </w:p>
    <w:p w:rsidR="00BD22CC" w:rsidRPr="00767038" w:rsidRDefault="00BF0DB0" w:rsidP="00376576">
      <w:pPr>
        <w:autoSpaceDE w:val="0"/>
        <w:autoSpaceDN w:val="0"/>
        <w:adjustRightInd w:val="0"/>
        <w:rPr>
          <w:rFonts w:cs="TimesNewRoman"/>
          <w:lang w:val="pl-PL"/>
        </w:rPr>
      </w:pPr>
      <w:r w:rsidRPr="00767038">
        <w:rPr>
          <w:rFonts w:cs="TimesNewRoman"/>
          <w:lang w:val="pl-PL"/>
        </w:rPr>
        <w:t>Dzięki procesowi poświadczania IC powinna być w stanie zapewnić, że</w:t>
      </w:r>
      <w:r w:rsidR="00B45F79" w:rsidRPr="00767038">
        <w:rPr>
          <w:rFonts w:cs="TimesNewRoman"/>
          <w:lang w:val="pl-PL"/>
        </w:rPr>
        <w:t>:</w:t>
      </w:r>
    </w:p>
    <w:p w:rsidR="00BD22CC" w:rsidRPr="00767038" w:rsidRDefault="00BF0DB0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zestawienie wydatków kwalifikowalnych </w:t>
      </w:r>
      <w:r w:rsidR="00433A21" w:rsidRPr="00767038">
        <w:rPr>
          <w:lang w:val="pl-PL"/>
        </w:rPr>
        <w:t xml:space="preserve">złożone </w:t>
      </w:r>
      <w:r w:rsidRPr="00767038">
        <w:rPr>
          <w:lang w:val="pl-PL"/>
        </w:rPr>
        <w:t xml:space="preserve">przez </w:t>
      </w:r>
      <w:r w:rsidR="00315981" w:rsidRPr="00767038">
        <w:rPr>
          <w:lang w:val="pl-PL"/>
        </w:rPr>
        <w:t>Operator</w:t>
      </w:r>
      <w:r w:rsidR="00433A21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jest w pełni zgodne z </w:t>
      </w:r>
      <w:r w:rsidR="00433A21" w:rsidRPr="00767038">
        <w:rPr>
          <w:lang w:val="pl-PL"/>
        </w:rPr>
        <w:t xml:space="preserve">załączonymi </w:t>
      </w:r>
      <w:r w:rsidRPr="00767038">
        <w:rPr>
          <w:lang w:val="pl-PL"/>
        </w:rPr>
        <w:t>dokumentami</w:t>
      </w:r>
      <w:r w:rsidR="003146B8" w:rsidRPr="00767038">
        <w:rPr>
          <w:lang w:val="pl-PL"/>
        </w:rPr>
        <w:t>;</w:t>
      </w:r>
    </w:p>
    <w:p w:rsidR="00BD22CC" w:rsidRPr="00767038" w:rsidRDefault="00433A21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załączona </w:t>
      </w:r>
      <w:r w:rsidR="00BF0DB0" w:rsidRPr="00767038">
        <w:rPr>
          <w:lang w:val="pl-PL"/>
        </w:rPr>
        <w:t>dokument</w:t>
      </w:r>
      <w:r w:rsidRPr="00767038">
        <w:rPr>
          <w:lang w:val="pl-PL"/>
        </w:rPr>
        <w:t>acja</w:t>
      </w:r>
      <w:r w:rsidR="00BF0DB0" w:rsidRPr="00767038">
        <w:rPr>
          <w:lang w:val="pl-PL"/>
        </w:rPr>
        <w:t xml:space="preserve"> został</w:t>
      </w:r>
      <w:r w:rsidRPr="00767038">
        <w:rPr>
          <w:lang w:val="pl-PL"/>
        </w:rPr>
        <w:t>a</w:t>
      </w:r>
      <w:r w:rsidR="00BF0DB0" w:rsidRPr="00767038">
        <w:rPr>
          <w:lang w:val="pl-PL"/>
        </w:rPr>
        <w:t xml:space="preserve"> </w:t>
      </w:r>
      <w:r w:rsidRPr="00767038">
        <w:rPr>
          <w:lang w:val="pl-PL"/>
        </w:rPr>
        <w:t>zweryfikowana</w:t>
      </w:r>
      <w:r w:rsidR="00BF0DB0" w:rsidRPr="00767038">
        <w:rPr>
          <w:lang w:val="pl-PL"/>
        </w:rPr>
        <w:t xml:space="preserve"> i </w:t>
      </w:r>
      <w:r w:rsidRPr="00767038">
        <w:rPr>
          <w:lang w:val="pl-PL"/>
        </w:rPr>
        <w:t>potwierdzono jej</w:t>
      </w:r>
      <w:r w:rsidR="00BF0DB0" w:rsidRPr="00767038">
        <w:rPr>
          <w:lang w:val="pl-PL"/>
        </w:rPr>
        <w:t xml:space="preserve"> autentyczn</w:t>
      </w:r>
      <w:r w:rsidRPr="00767038">
        <w:rPr>
          <w:lang w:val="pl-PL"/>
        </w:rPr>
        <w:t>ość</w:t>
      </w:r>
      <w:r w:rsidR="00BF0DB0" w:rsidRPr="00767038">
        <w:rPr>
          <w:lang w:val="pl-PL"/>
        </w:rPr>
        <w:t>, poprawn</w:t>
      </w:r>
      <w:r w:rsidRPr="00767038">
        <w:rPr>
          <w:lang w:val="pl-PL"/>
        </w:rPr>
        <w:t>ość</w:t>
      </w:r>
      <w:r w:rsidR="00BF0DB0" w:rsidRPr="00767038">
        <w:rPr>
          <w:lang w:val="pl-PL"/>
        </w:rPr>
        <w:t xml:space="preserve"> i </w:t>
      </w:r>
      <w:r w:rsidRPr="00767038">
        <w:rPr>
          <w:lang w:val="pl-PL"/>
        </w:rPr>
        <w:t>prawidłowość</w:t>
      </w:r>
      <w:r w:rsidR="003146B8" w:rsidRPr="00767038">
        <w:rPr>
          <w:lang w:val="pl-PL"/>
        </w:rPr>
        <w:t xml:space="preserve">; </w:t>
      </w:r>
    </w:p>
    <w:p w:rsidR="00BD22CC" w:rsidRPr="00767038" w:rsidRDefault="00BF0DB0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zestawienie wydatków kwalifikowalnych op</w:t>
      </w:r>
      <w:r w:rsidR="00433A21" w:rsidRPr="00767038">
        <w:rPr>
          <w:lang w:val="pl-PL"/>
        </w:rPr>
        <w:t>iera się</w:t>
      </w:r>
      <w:r w:rsidRPr="00767038">
        <w:rPr>
          <w:lang w:val="pl-PL"/>
        </w:rPr>
        <w:t xml:space="preserve"> na </w:t>
      </w:r>
      <w:r w:rsidR="00643282" w:rsidRPr="00767038">
        <w:rPr>
          <w:lang w:val="pl-PL"/>
        </w:rPr>
        <w:t>weryfikowalnych danych</w:t>
      </w:r>
      <w:r w:rsidRPr="00767038">
        <w:rPr>
          <w:lang w:val="pl-PL"/>
        </w:rPr>
        <w:t xml:space="preserve"> rachunkowych, </w:t>
      </w:r>
      <w:r w:rsidR="00836187" w:rsidRPr="00767038">
        <w:rPr>
          <w:lang w:val="pl-PL"/>
        </w:rPr>
        <w:t>zgodn</w:t>
      </w:r>
      <w:r w:rsidR="00643282" w:rsidRPr="00767038">
        <w:rPr>
          <w:lang w:val="pl-PL"/>
        </w:rPr>
        <w:t>ych</w:t>
      </w:r>
      <w:r w:rsidR="00836187" w:rsidRPr="00767038">
        <w:rPr>
          <w:lang w:val="pl-PL"/>
        </w:rPr>
        <w:t xml:space="preserve"> z </w:t>
      </w:r>
      <w:r w:rsidR="00643282" w:rsidRPr="00767038">
        <w:rPr>
          <w:lang w:val="pl-PL"/>
        </w:rPr>
        <w:t>ogólnie</w:t>
      </w:r>
      <w:r w:rsidR="00836187" w:rsidRPr="00767038">
        <w:rPr>
          <w:lang w:val="pl-PL"/>
        </w:rPr>
        <w:t xml:space="preserve"> przyjętymi zasadami i metodami </w:t>
      </w:r>
      <w:r w:rsidR="00643282" w:rsidRPr="00767038">
        <w:rPr>
          <w:lang w:val="pl-PL"/>
        </w:rPr>
        <w:t xml:space="preserve">w zakresie </w:t>
      </w:r>
      <w:r w:rsidR="00836187" w:rsidRPr="00767038">
        <w:rPr>
          <w:lang w:val="pl-PL"/>
        </w:rPr>
        <w:t>rachunkowości</w:t>
      </w:r>
      <w:r w:rsidR="003146B8" w:rsidRPr="00767038">
        <w:rPr>
          <w:lang w:val="pl-PL"/>
        </w:rPr>
        <w:t>;</w:t>
      </w:r>
    </w:p>
    <w:p w:rsidR="00BD22CC" w:rsidRPr="00767038" w:rsidRDefault="00836187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zestawienie wydatków kwalifikowalnych </w:t>
      </w:r>
      <w:r w:rsidR="00643282" w:rsidRPr="00767038">
        <w:rPr>
          <w:lang w:val="pl-PL"/>
        </w:rPr>
        <w:t xml:space="preserve">obejmuje </w:t>
      </w:r>
      <w:r w:rsidRPr="00767038">
        <w:rPr>
          <w:lang w:val="pl-PL"/>
        </w:rPr>
        <w:t>wydatk</w:t>
      </w:r>
      <w:r w:rsidR="00643282" w:rsidRPr="00767038">
        <w:rPr>
          <w:lang w:val="pl-PL"/>
        </w:rPr>
        <w:t>i</w:t>
      </w:r>
      <w:r w:rsidRPr="00767038">
        <w:rPr>
          <w:lang w:val="pl-PL"/>
        </w:rPr>
        <w:t xml:space="preserve"> kwalifikowaln</w:t>
      </w:r>
      <w:r w:rsidR="00643282" w:rsidRPr="00767038">
        <w:rPr>
          <w:lang w:val="pl-PL"/>
        </w:rPr>
        <w:t>e</w:t>
      </w:r>
      <w:r w:rsidRPr="00767038">
        <w:rPr>
          <w:lang w:val="pl-PL"/>
        </w:rPr>
        <w:t xml:space="preserve"> </w:t>
      </w:r>
      <w:r w:rsidR="00643282" w:rsidRPr="00767038">
        <w:rPr>
          <w:lang w:val="pl-PL"/>
        </w:rPr>
        <w:t>w ramach Regulacji</w:t>
      </w:r>
      <w:r w:rsidR="003146B8" w:rsidRPr="00767038">
        <w:rPr>
          <w:lang w:val="pl-PL"/>
        </w:rPr>
        <w:t xml:space="preserve">; </w:t>
      </w:r>
    </w:p>
    <w:p w:rsidR="00BD22CC" w:rsidRPr="00767038" w:rsidRDefault="00836187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wydatki </w:t>
      </w:r>
      <w:r w:rsidR="00643282" w:rsidRPr="00767038">
        <w:rPr>
          <w:lang w:val="pl-PL"/>
        </w:rPr>
        <w:t xml:space="preserve">ujęte w zestawieniu zostały </w:t>
      </w:r>
      <w:r w:rsidRPr="00767038">
        <w:rPr>
          <w:lang w:val="pl-PL"/>
        </w:rPr>
        <w:t>poniesione w ramach</w:t>
      </w:r>
      <w:r w:rsidR="00643282" w:rsidRPr="00767038">
        <w:rPr>
          <w:lang w:val="pl-PL"/>
        </w:rPr>
        <w:t xml:space="preserve"> wdrażania</w:t>
      </w:r>
      <w:r w:rsidRPr="00767038">
        <w:rPr>
          <w:lang w:val="pl-PL"/>
        </w:rPr>
        <w:t xml:space="preserve"> programu</w:t>
      </w:r>
      <w:r w:rsidR="00643282" w:rsidRPr="00767038">
        <w:rPr>
          <w:lang w:val="pl-PL"/>
        </w:rPr>
        <w:t>,</w:t>
      </w:r>
      <w:r w:rsidRPr="00767038">
        <w:rPr>
          <w:lang w:val="pl-PL"/>
        </w:rPr>
        <w:t xml:space="preserve"> zgodnie z </w:t>
      </w:r>
      <w:r w:rsidR="00643282" w:rsidRPr="00767038">
        <w:rPr>
          <w:lang w:val="pl-PL"/>
        </w:rPr>
        <w:t>Umową w sprawie programu</w:t>
      </w:r>
      <w:r w:rsidR="003146B8" w:rsidRPr="00767038">
        <w:rPr>
          <w:lang w:val="pl-PL"/>
        </w:rPr>
        <w:t xml:space="preserve">; </w:t>
      </w:r>
    </w:p>
    <w:p w:rsidR="00BD22CC" w:rsidRPr="00767038" w:rsidRDefault="00836187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istnieje </w:t>
      </w:r>
      <w:r w:rsidR="00643282" w:rsidRPr="00767038">
        <w:rPr>
          <w:lang w:val="pl-PL"/>
        </w:rPr>
        <w:t xml:space="preserve">właściwa </w:t>
      </w:r>
      <w:r w:rsidRPr="00767038">
        <w:rPr>
          <w:lang w:val="pl-PL"/>
        </w:rPr>
        <w:t>ścieżka audytu</w:t>
      </w:r>
      <w:r w:rsidR="003146B8" w:rsidRPr="00767038">
        <w:rPr>
          <w:lang w:val="pl-PL"/>
        </w:rPr>
        <w:t>;</w:t>
      </w:r>
    </w:p>
    <w:p w:rsidR="00BD22CC" w:rsidRPr="00767038" w:rsidRDefault="00643282" w:rsidP="00433A21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zostało wniesione</w:t>
      </w:r>
      <w:r w:rsidR="00836187" w:rsidRPr="00767038">
        <w:rPr>
          <w:lang w:val="pl-PL"/>
        </w:rPr>
        <w:t xml:space="preserve"> współfinansowani</w:t>
      </w:r>
      <w:r w:rsidRPr="00767038">
        <w:rPr>
          <w:lang w:val="pl-PL"/>
        </w:rPr>
        <w:t>e</w:t>
      </w:r>
      <w:r w:rsidR="00836187" w:rsidRPr="00767038">
        <w:rPr>
          <w:lang w:val="pl-PL"/>
        </w:rPr>
        <w:t xml:space="preserve"> na </w:t>
      </w:r>
      <w:r w:rsidRPr="00767038">
        <w:rPr>
          <w:lang w:val="pl-PL"/>
        </w:rPr>
        <w:t xml:space="preserve">rzecz </w:t>
      </w:r>
      <w:r w:rsidR="00836187" w:rsidRPr="00767038">
        <w:rPr>
          <w:lang w:val="pl-PL"/>
        </w:rPr>
        <w:t>program</w:t>
      </w:r>
      <w:r w:rsidRPr="00767038">
        <w:rPr>
          <w:lang w:val="pl-PL"/>
        </w:rPr>
        <w:t>u</w:t>
      </w:r>
      <w:r w:rsidR="00836187" w:rsidRPr="00767038">
        <w:rPr>
          <w:lang w:val="pl-PL"/>
        </w:rPr>
        <w:t xml:space="preserve"> (jeżeli</w:t>
      </w:r>
      <w:r w:rsidRPr="00767038">
        <w:rPr>
          <w:lang w:val="pl-PL"/>
        </w:rPr>
        <w:t xml:space="preserve"> dotyczy</w:t>
      </w:r>
      <w:r w:rsidR="001D0157" w:rsidRPr="00767038">
        <w:rPr>
          <w:lang w:val="pl-PL"/>
        </w:rPr>
        <w:t>).</w:t>
      </w:r>
    </w:p>
    <w:p w:rsidR="00790E08" w:rsidRPr="00767038" w:rsidRDefault="00836187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>Zakres</w:t>
      </w:r>
      <w:r w:rsidR="00790E08" w:rsidRPr="00767038">
        <w:rPr>
          <w:lang w:val="pl-PL"/>
        </w:rPr>
        <w:t>,</w:t>
      </w:r>
      <w:r w:rsidRPr="00767038">
        <w:rPr>
          <w:lang w:val="pl-PL"/>
        </w:rPr>
        <w:t xml:space="preserve"> procedury i rejestry</w:t>
      </w:r>
    </w:p>
    <w:p w:rsidR="00962C85" w:rsidRPr="00767038" w:rsidRDefault="00836187" w:rsidP="002E4043">
      <w:pPr>
        <w:spacing w:before="0"/>
        <w:rPr>
          <w:lang w:val="pl-PL"/>
        </w:rPr>
      </w:pPr>
      <w:r w:rsidRPr="00767038">
        <w:rPr>
          <w:b/>
          <w:bCs/>
          <w:lang w:val="pl-PL"/>
        </w:rPr>
        <w:t>Zakres</w:t>
      </w:r>
      <w:r w:rsidR="00790E08" w:rsidRPr="00767038">
        <w:rPr>
          <w:b/>
          <w:bCs/>
          <w:lang w:val="pl-PL"/>
        </w:rPr>
        <w:t>:</w:t>
      </w:r>
      <w:r w:rsidR="00D368BB" w:rsidRPr="00767038">
        <w:rPr>
          <w:b/>
          <w:bCs/>
          <w:lang w:val="pl-PL"/>
        </w:rPr>
        <w:t xml:space="preserve"> </w:t>
      </w:r>
      <w:r w:rsidRPr="00767038">
        <w:rPr>
          <w:lang w:val="pl-PL"/>
        </w:rPr>
        <w:t xml:space="preserve">wydatki zgłaszane przez </w:t>
      </w:r>
      <w:r w:rsidR="00315981" w:rsidRPr="00767038">
        <w:rPr>
          <w:lang w:val="pl-PL"/>
        </w:rPr>
        <w:t>Operator</w:t>
      </w:r>
      <w:r w:rsidR="00643282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w każdym FRO powinny podlegać poświadczeniu przez IC</w:t>
      </w:r>
      <w:r w:rsidR="00790E08" w:rsidRPr="00767038">
        <w:rPr>
          <w:lang w:val="pl-PL"/>
        </w:rPr>
        <w:t xml:space="preserve">. </w:t>
      </w:r>
    </w:p>
    <w:p w:rsidR="00790E08" w:rsidRPr="00767038" w:rsidRDefault="00836187" w:rsidP="002E4043">
      <w:pPr>
        <w:spacing w:before="0"/>
        <w:rPr>
          <w:lang w:val="pl-PL"/>
        </w:rPr>
      </w:pPr>
      <w:r w:rsidRPr="00767038">
        <w:rPr>
          <w:lang w:val="pl-PL"/>
        </w:rPr>
        <w:t>Wydatki mogą być</w:t>
      </w:r>
      <w:r w:rsidR="00790E08" w:rsidRPr="00767038">
        <w:rPr>
          <w:lang w:val="pl-PL"/>
        </w:rPr>
        <w:t>:</w:t>
      </w:r>
    </w:p>
    <w:p w:rsidR="00962C85" w:rsidRPr="00767038" w:rsidRDefault="00836187" w:rsidP="00643282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poniesion</w:t>
      </w:r>
      <w:r w:rsidR="00643282" w:rsidRPr="00767038">
        <w:rPr>
          <w:lang w:val="pl-PL"/>
        </w:rPr>
        <w:t>e</w:t>
      </w:r>
      <w:r w:rsidRPr="00767038">
        <w:rPr>
          <w:lang w:val="pl-PL"/>
        </w:rPr>
        <w:t xml:space="preserve"> bezpośrednio przez </w:t>
      </w:r>
      <w:r w:rsidR="00315981" w:rsidRPr="00767038">
        <w:rPr>
          <w:lang w:val="pl-PL"/>
        </w:rPr>
        <w:t>Operator</w:t>
      </w:r>
      <w:r w:rsidR="00643282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(np. koszt</w:t>
      </w:r>
      <w:r w:rsidR="00643282" w:rsidRPr="00767038">
        <w:rPr>
          <w:lang w:val="pl-PL"/>
        </w:rPr>
        <w:t>y</w:t>
      </w:r>
      <w:r w:rsidRPr="00767038">
        <w:rPr>
          <w:lang w:val="pl-PL"/>
        </w:rPr>
        <w:t xml:space="preserve"> zadeklarowan</w:t>
      </w:r>
      <w:r w:rsidR="00643282" w:rsidRPr="00767038">
        <w:rPr>
          <w:lang w:val="pl-PL"/>
        </w:rPr>
        <w:t>e</w:t>
      </w:r>
      <w:r w:rsidRPr="00767038">
        <w:rPr>
          <w:lang w:val="pl-PL"/>
        </w:rPr>
        <w:t xml:space="preserve"> w ramach zarządzania programem</w:t>
      </w:r>
      <w:r w:rsidR="00790E08" w:rsidRPr="00767038">
        <w:rPr>
          <w:lang w:val="pl-PL"/>
        </w:rPr>
        <w:t xml:space="preserve">): </w:t>
      </w:r>
      <w:r w:rsidRPr="00767038">
        <w:rPr>
          <w:lang w:val="pl-PL"/>
        </w:rPr>
        <w:t xml:space="preserve">w takim przypadku przedmiotem weryfikacji i późniejszego poświadczenia jest dowód poniesienia wydatków, np. faktura, przelew bankowy itd. </w:t>
      </w:r>
      <w:r w:rsidR="00643282" w:rsidRPr="00767038">
        <w:rPr>
          <w:lang w:val="pl-PL"/>
        </w:rPr>
        <w:t>Przy procesie certyfikacji</w:t>
      </w:r>
      <w:r w:rsidRPr="00767038">
        <w:rPr>
          <w:lang w:val="pl-PL"/>
        </w:rPr>
        <w:t xml:space="preserve"> IC powinna odwołać się do sekcji </w:t>
      </w:r>
      <w:r w:rsidR="00790E08" w:rsidRPr="00767038">
        <w:rPr>
          <w:lang w:val="pl-PL"/>
        </w:rPr>
        <w:t xml:space="preserve">3.3 </w:t>
      </w:r>
      <w:r w:rsidRPr="00767038">
        <w:rPr>
          <w:lang w:val="pl-PL"/>
        </w:rPr>
        <w:t>Wytycznych finansowych w celu uzyskania dalszych informacji i wytycznych dotyczących metodologii weryfikacji wydatków;</w:t>
      </w:r>
    </w:p>
    <w:p w:rsidR="00753BCC" w:rsidRPr="00767038" w:rsidRDefault="00081116" w:rsidP="00643282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o charakterze </w:t>
      </w:r>
      <w:r w:rsidR="00643282" w:rsidRPr="00767038">
        <w:rPr>
          <w:lang w:val="pl-PL"/>
        </w:rPr>
        <w:t>re-</w:t>
      </w:r>
      <w:proofErr w:type="spellStart"/>
      <w:r w:rsidR="00643282" w:rsidRPr="00767038">
        <w:rPr>
          <w:lang w:val="pl-PL"/>
        </w:rPr>
        <w:t>grantingu</w:t>
      </w:r>
      <w:proofErr w:type="spellEnd"/>
      <w:r w:rsidRPr="00767038">
        <w:rPr>
          <w:lang w:val="pl-PL"/>
        </w:rPr>
        <w:t xml:space="preserve"> (np. zaliczki na rzecz </w:t>
      </w:r>
      <w:r w:rsidR="00AC25C8" w:rsidRPr="00767038">
        <w:rPr>
          <w:lang w:val="pl-PL"/>
        </w:rPr>
        <w:t>beneficjent</w:t>
      </w:r>
      <w:r w:rsidR="00643282" w:rsidRPr="00767038">
        <w:rPr>
          <w:lang w:val="pl-PL"/>
        </w:rPr>
        <w:t>ów</w:t>
      </w:r>
      <w:r w:rsidR="00790E08" w:rsidRPr="00767038">
        <w:rPr>
          <w:lang w:val="pl-PL"/>
        </w:rPr>
        <w:t>):</w:t>
      </w:r>
      <w:r w:rsidRPr="00767038">
        <w:rPr>
          <w:lang w:val="pl-PL"/>
        </w:rPr>
        <w:t xml:space="preserve"> w takim przypadku przedmiot weryfikacji </w:t>
      </w:r>
      <w:r w:rsidR="00643282" w:rsidRPr="00767038">
        <w:rPr>
          <w:lang w:val="pl-PL"/>
        </w:rPr>
        <w:t>oraz</w:t>
      </w:r>
      <w:r w:rsidRPr="00767038">
        <w:rPr>
          <w:lang w:val="pl-PL"/>
        </w:rPr>
        <w:t xml:space="preserve"> poświadczenie</w:t>
      </w:r>
      <w:r w:rsidR="00643282" w:rsidRPr="00767038">
        <w:rPr>
          <w:lang w:val="pl-PL"/>
        </w:rPr>
        <w:t xml:space="preserve"> </w:t>
      </w:r>
      <w:r w:rsidRPr="00767038">
        <w:rPr>
          <w:lang w:val="pl-PL"/>
        </w:rPr>
        <w:t>ogranicza się do przelewu bankowego, umowy w sprawie projektu itd.</w:t>
      </w:r>
    </w:p>
    <w:p w:rsidR="00590372" w:rsidRPr="00767038" w:rsidRDefault="00081116" w:rsidP="00590372">
      <w:pPr>
        <w:spacing w:before="0"/>
        <w:rPr>
          <w:b/>
          <w:lang w:val="pl-PL"/>
        </w:rPr>
      </w:pPr>
      <w:r w:rsidRPr="00767038">
        <w:rPr>
          <w:b/>
          <w:bCs/>
          <w:lang w:val="pl-PL"/>
        </w:rPr>
        <w:t>Procedury</w:t>
      </w:r>
      <w:r w:rsidR="00590372" w:rsidRPr="00767038">
        <w:rPr>
          <w:b/>
          <w:bCs/>
          <w:lang w:val="pl-PL"/>
        </w:rPr>
        <w:t xml:space="preserve">: </w:t>
      </w:r>
      <w:r w:rsidRPr="00767038">
        <w:rPr>
          <w:bCs/>
          <w:lang w:val="pl-PL"/>
        </w:rPr>
        <w:t>procedury</w:t>
      </w:r>
      <w:r w:rsidR="00643282" w:rsidRPr="00767038">
        <w:rPr>
          <w:bCs/>
          <w:lang w:val="pl-PL"/>
        </w:rPr>
        <w:t xml:space="preserve"> </w:t>
      </w:r>
      <w:r w:rsidRPr="00767038">
        <w:rPr>
          <w:bCs/>
          <w:lang w:val="pl-PL"/>
        </w:rPr>
        <w:t xml:space="preserve">stosowane przez IC </w:t>
      </w:r>
      <w:r w:rsidR="00643282" w:rsidRPr="00767038">
        <w:rPr>
          <w:bCs/>
          <w:lang w:val="pl-PL"/>
        </w:rPr>
        <w:t>powinny zostać</w:t>
      </w:r>
      <w:r w:rsidRPr="00767038">
        <w:rPr>
          <w:bCs/>
          <w:lang w:val="pl-PL"/>
        </w:rPr>
        <w:t xml:space="preserve"> określ</w:t>
      </w:r>
      <w:r w:rsidR="00643282" w:rsidRPr="00767038">
        <w:rPr>
          <w:bCs/>
          <w:lang w:val="pl-PL"/>
        </w:rPr>
        <w:t>one</w:t>
      </w:r>
      <w:r w:rsidRPr="00767038">
        <w:rPr>
          <w:bCs/>
          <w:lang w:val="pl-PL"/>
        </w:rPr>
        <w:t xml:space="preserve"> w podręczniku procedur, </w:t>
      </w:r>
      <w:r w:rsidR="00643282" w:rsidRPr="00767038">
        <w:rPr>
          <w:bCs/>
          <w:lang w:val="pl-PL"/>
        </w:rPr>
        <w:t xml:space="preserve">ze </w:t>
      </w:r>
      <w:r w:rsidR="00A35E94" w:rsidRPr="00767038">
        <w:rPr>
          <w:bCs/>
          <w:lang w:val="pl-PL"/>
        </w:rPr>
        <w:t>wskazaniem, które</w:t>
      </w:r>
      <w:r w:rsidRPr="00767038">
        <w:rPr>
          <w:bCs/>
          <w:lang w:val="pl-PL"/>
        </w:rPr>
        <w:t xml:space="preserve"> punkty podlegają kontroli i </w:t>
      </w:r>
      <w:r w:rsidR="00643282" w:rsidRPr="00767038">
        <w:rPr>
          <w:bCs/>
          <w:lang w:val="pl-PL"/>
        </w:rPr>
        <w:t>odniesieniem do wykorzystywanych list sprawdzających</w:t>
      </w:r>
      <w:r w:rsidR="00590372" w:rsidRPr="00767038">
        <w:rPr>
          <w:color w:val="000000"/>
          <w:lang w:val="pl-PL"/>
        </w:rPr>
        <w:t>.</w:t>
      </w:r>
    </w:p>
    <w:p w:rsidR="00F5477F" w:rsidRPr="00767038" w:rsidRDefault="00081116" w:rsidP="00590372">
      <w:pPr>
        <w:spacing w:before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Projektując proces </w:t>
      </w:r>
      <w:r w:rsidR="001579AF" w:rsidRPr="00767038">
        <w:rPr>
          <w:rFonts w:cs="Times New Roman"/>
          <w:color w:val="000000"/>
          <w:lang w:val="pl-PL"/>
        </w:rPr>
        <w:t>certyfikacji</w:t>
      </w:r>
      <w:r w:rsidRPr="00767038">
        <w:rPr>
          <w:rFonts w:cs="Times New Roman"/>
          <w:color w:val="000000"/>
          <w:lang w:val="pl-PL"/>
        </w:rPr>
        <w:t>, należy uwzględnić następujące główne kwestie</w:t>
      </w:r>
      <w:r w:rsidR="00AC7BCF" w:rsidRPr="00767038">
        <w:rPr>
          <w:rFonts w:cs="Times New Roman"/>
          <w:color w:val="000000"/>
          <w:lang w:val="pl-PL"/>
        </w:rPr>
        <w:t xml:space="preserve">: </w:t>
      </w:r>
    </w:p>
    <w:p w:rsidR="008C2068" w:rsidRPr="00DF6C58" w:rsidRDefault="00DF6C58" w:rsidP="001B2932">
      <w:pPr>
        <w:spacing w:before="0"/>
        <w:rPr>
          <w:rFonts w:cs="Times New Roman"/>
          <w:color w:val="000000"/>
          <w:lang w:val="pl-PL"/>
        </w:rPr>
      </w:pPr>
      <w:r>
        <w:rPr>
          <w:noProof/>
          <w:sz w:val="18"/>
          <w:szCs w:val="18"/>
          <w:lang w:val="pl-PL" w:eastAsia="pl-PL"/>
        </w:rPr>
        <w:drawing>
          <wp:inline distT="0" distB="0" distL="0" distR="0" wp14:anchorId="15025F43" wp14:editId="170D501B">
            <wp:extent cx="5727109" cy="2857500"/>
            <wp:effectExtent l="0" t="0" r="0" b="0"/>
            <wp:docPr id="6" name="Obraz 6" descr="C:\Users\Justyna_Beska\Desktop\Obra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_Beska\Desktop\Obraz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0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08" w:rsidRPr="00767038" w:rsidRDefault="00FB2938" w:rsidP="001B2932">
      <w:pPr>
        <w:spacing w:before="0"/>
        <w:rPr>
          <w:rFonts w:cs="TimesNew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C6C936" wp14:editId="09221FAC">
                <wp:simplePos x="0" y="0"/>
                <wp:positionH relativeFrom="margin">
                  <wp:posOffset>2952750</wp:posOffset>
                </wp:positionH>
                <wp:positionV relativeFrom="paragraph">
                  <wp:posOffset>24130</wp:posOffset>
                </wp:positionV>
                <wp:extent cx="3048000" cy="1647825"/>
                <wp:effectExtent l="0" t="0" r="0" b="9525"/>
                <wp:wrapTight wrapText="left">
                  <wp:wrapPolygon edited="0">
                    <wp:start x="0" y="0"/>
                    <wp:lineTo x="0" y="21475"/>
                    <wp:lineTo x="21465" y="21475"/>
                    <wp:lineTo x="21465" y="0"/>
                    <wp:lineTo x="0" y="0"/>
                  </wp:wrapPolygon>
                </wp:wrapTight>
                <wp:docPr id="229" name="Flowchart: Process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6478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C522D7" w:rsidRPr="00CB23F2" w:rsidRDefault="00C522D7" w:rsidP="00790E08">
                            <w:pPr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Dobre</w:t>
                            </w:r>
                            <w:r w:rsidRPr="00CB23F2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 praktyk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CB23F2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CB23F2" w:rsidRDefault="00C522D7" w:rsidP="00790E08">
                            <w:pPr>
                              <w:spacing w:before="0"/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B23F2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Deklaracja FRO przez OP</w:t>
                            </w:r>
                          </w:p>
                          <w:p w:rsidR="00C522D7" w:rsidRPr="00CB23F2" w:rsidRDefault="00C522D7" w:rsidP="00790E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B23F2"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>IC może wym</w:t>
                            </w:r>
                            <w:r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>a</w:t>
                            </w:r>
                            <w:r w:rsidRPr="00CB23F2"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 xml:space="preserve">gać od OP formalnej deklaracji, że przedstawione informacje są prawdziwe, poprawne i kompletne, </w:t>
                            </w:r>
                            <w:r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 xml:space="preserve">że </w:t>
                            </w:r>
                            <w:r w:rsidRPr="00CB23F2"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>wydatki uwzględnione w FRO podlegały kontrol</w:t>
                            </w:r>
                            <w:r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CB23F2"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 xml:space="preserve"> zgodnie z ustalonym SZK </w:t>
                            </w:r>
                            <w:r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>oraz</w:t>
                            </w:r>
                            <w:r w:rsidRPr="00CB23F2">
                              <w:rPr>
                                <w:rFonts w:cs="TimesNewRoman"/>
                                <w:sz w:val="18"/>
                                <w:szCs w:val="18"/>
                                <w:lang w:val="pl-PL"/>
                              </w:rPr>
                              <w:t xml:space="preserve"> że OP ma racjonalną pewność, że wydatki są wolne od istotnego błędu.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9" o:spid="_x0000_s1041" type="#_x0000_t109" style="position:absolute;left:0;text-align:left;margin-left:232.5pt;margin-top:1.9pt;width:240pt;height:1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" fillcolor="#deeaf6 [660]" stroked="f">
                <v:path arrowok="t"/>
                <v:textbox>
                  <w:txbxContent>
                    <w:p w:rsidR="00C522D7" w:rsidRPr="00CB23F2" w:rsidRDefault="00C522D7" w:rsidP="00790E08">
                      <w:pPr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Dobre</w:t>
                      </w:r>
                      <w:r w:rsidRPr="00CB23F2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 praktyk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CB23F2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  <w:p w:rsidR="00C522D7" w:rsidRPr="00CB23F2" w:rsidRDefault="00C522D7" w:rsidP="00790E08">
                      <w:pPr>
                        <w:spacing w:before="0"/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 w:rsidRPr="00CB23F2">
                        <w:rPr>
                          <w:i/>
                          <w:i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Deklaracja FRO przez OP</w:t>
                      </w:r>
                    </w:p>
                    <w:p w:rsidR="00C522D7" w:rsidRPr="00CB23F2" w:rsidRDefault="00C522D7" w:rsidP="00790E08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B23F2"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>IC może wym</w:t>
                      </w:r>
                      <w:r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>a</w:t>
                      </w:r>
                      <w:r w:rsidRPr="00CB23F2"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 xml:space="preserve">gać od OP formalnej deklaracji, że przedstawione informacje są prawdziwe, poprawne i kompletne, </w:t>
                      </w:r>
                      <w:r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 xml:space="preserve">że </w:t>
                      </w:r>
                      <w:r w:rsidRPr="00CB23F2"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>wydatki uwzględnione w FRO podlegały kontrol</w:t>
                      </w:r>
                      <w:r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CB23F2"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 xml:space="preserve"> zgodnie z ustalonym SZK </w:t>
                      </w:r>
                      <w:r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>oraz</w:t>
                      </w:r>
                      <w:r w:rsidRPr="00CB23F2">
                        <w:rPr>
                          <w:rFonts w:cs="TimesNewRoman"/>
                          <w:sz w:val="18"/>
                          <w:szCs w:val="18"/>
                          <w:lang w:val="pl-PL"/>
                        </w:rPr>
                        <w:t xml:space="preserve"> że OP ma racjonalną pewność, że wydatki są wolne od istotnego błędu.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CB23F2" w:rsidRPr="00767038">
        <w:rPr>
          <w:b/>
          <w:bCs/>
          <w:lang w:val="pl-PL"/>
        </w:rPr>
        <w:t>Rejestry</w:t>
      </w:r>
      <w:r w:rsidR="00950EAE" w:rsidRPr="00767038">
        <w:rPr>
          <w:b/>
          <w:bCs/>
          <w:lang w:val="pl-PL"/>
        </w:rPr>
        <w:t>:</w:t>
      </w:r>
      <w:r w:rsidR="00C753D4" w:rsidRPr="00767038">
        <w:rPr>
          <w:b/>
          <w:bCs/>
          <w:lang w:val="pl-PL"/>
        </w:rPr>
        <w:t xml:space="preserve"> </w:t>
      </w:r>
      <w:r w:rsidR="001579AF" w:rsidRPr="00767038">
        <w:rPr>
          <w:bCs/>
          <w:lang w:val="pl-PL"/>
        </w:rPr>
        <w:t>IC w celu</w:t>
      </w:r>
      <w:r w:rsidR="00CB23F2" w:rsidRPr="00767038">
        <w:rPr>
          <w:lang w:val="pl-PL"/>
        </w:rPr>
        <w:t xml:space="preserve"> </w:t>
      </w:r>
      <w:r w:rsidR="001579AF" w:rsidRPr="00767038">
        <w:rPr>
          <w:lang w:val="pl-PL"/>
        </w:rPr>
        <w:t>powzięcia</w:t>
      </w:r>
      <w:r w:rsidR="00CB23F2" w:rsidRPr="00767038">
        <w:rPr>
          <w:lang w:val="pl-PL"/>
        </w:rPr>
        <w:t xml:space="preserve"> wystarczając</w:t>
      </w:r>
      <w:r w:rsidR="001579AF" w:rsidRPr="00767038">
        <w:rPr>
          <w:lang w:val="pl-PL"/>
        </w:rPr>
        <w:t>ej</w:t>
      </w:r>
      <w:r w:rsidR="00CB23F2" w:rsidRPr="00767038">
        <w:rPr>
          <w:lang w:val="pl-PL"/>
        </w:rPr>
        <w:t xml:space="preserve"> pewnoś</w:t>
      </w:r>
      <w:r w:rsidR="001579AF" w:rsidRPr="00767038">
        <w:rPr>
          <w:lang w:val="pl-PL"/>
        </w:rPr>
        <w:t>ci o możliwości</w:t>
      </w:r>
      <w:r w:rsidR="00CB23F2" w:rsidRPr="00767038">
        <w:rPr>
          <w:lang w:val="pl-PL"/>
        </w:rPr>
        <w:t xml:space="preserve"> przesła</w:t>
      </w:r>
      <w:r w:rsidR="001579AF" w:rsidRPr="00767038">
        <w:rPr>
          <w:lang w:val="pl-PL"/>
        </w:rPr>
        <w:t>nia</w:t>
      </w:r>
      <w:r w:rsidR="00CB23F2" w:rsidRPr="00767038">
        <w:rPr>
          <w:lang w:val="pl-PL"/>
        </w:rPr>
        <w:t xml:space="preserve"> poświadczon</w:t>
      </w:r>
      <w:r w:rsidR="001579AF" w:rsidRPr="00767038">
        <w:rPr>
          <w:lang w:val="pl-PL"/>
        </w:rPr>
        <w:t>ego</w:t>
      </w:r>
      <w:r w:rsidR="00CB23F2" w:rsidRPr="00767038">
        <w:rPr>
          <w:lang w:val="pl-PL"/>
        </w:rPr>
        <w:t xml:space="preserve"> FRO do KMF/</w:t>
      </w:r>
      <w:r w:rsidR="00C604D9" w:rsidRPr="00767038">
        <w:rPr>
          <w:lang w:val="pl-PL"/>
        </w:rPr>
        <w:t>NMSZ</w:t>
      </w:r>
      <w:r w:rsidR="00950EAE" w:rsidRPr="00767038">
        <w:rPr>
          <w:lang w:val="pl-PL"/>
        </w:rPr>
        <w:t>,</w:t>
      </w:r>
      <w:r w:rsidR="00CB23F2" w:rsidRPr="00767038">
        <w:rPr>
          <w:lang w:val="pl-PL"/>
        </w:rPr>
        <w:t xml:space="preserve"> musi posiadać odpowiednie dowody dotyczące poprawności, legalności i prawidłowości wydatków kwalifikowalnych</w:t>
      </w:r>
      <w:r w:rsidR="00950EAE" w:rsidRPr="00767038">
        <w:rPr>
          <w:lang w:val="pl-PL"/>
        </w:rPr>
        <w:t>.</w:t>
      </w:r>
      <w:r w:rsidR="00CB23F2" w:rsidRPr="00767038">
        <w:rPr>
          <w:lang w:val="pl-PL"/>
        </w:rPr>
        <w:t xml:space="preserve"> Wymagane dowody i</w:t>
      </w:r>
      <w:r w:rsidR="0051634B" w:rsidRPr="00767038">
        <w:rPr>
          <w:lang w:val="pl-PL"/>
        </w:rPr>
        <w:t xml:space="preserve"> procedury służące zapewnieniu, że IC otrzymuje je w sposób regularny i terminowy należy z góry określić w S</w:t>
      </w:r>
      <w:r w:rsidR="001579AF" w:rsidRPr="00767038">
        <w:rPr>
          <w:lang w:val="pl-PL"/>
        </w:rPr>
        <w:t>ystemie zarządzania i kontroli</w:t>
      </w:r>
      <w:r w:rsidR="0051634B" w:rsidRPr="00767038">
        <w:rPr>
          <w:lang w:val="pl-PL"/>
        </w:rPr>
        <w:t xml:space="preserve"> i poinformować o tym </w:t>
      </w:r>
      <w:r w:rsidR="00315981" w:rsidRPr="00767038">
        <w:rPr>
          <w:lang w:val="pl-PL"/>
        </w:rPr>
        <w:t>Operator</w:t>
      </w:r>
      <w:r w:rsidR="001579AF" w:rsidRPr="00767038">
        <w:rPr>
          <w:lang w:val="pl-PL"/>
        </w:rPr>
        <w:t>ów</w:t>
      </w:r>
      <w:r w:rsidR="00315981" w:rsidRPr="00767038">
        <w:rPr>
          <w:lang w:val="pl-PL"/>
        </w:rPr>
        <w:t xml:space="preserve"> Program</w:t>
      </w:r>
      <w:r w:rsidR="001579AF" w:rsidRPr="00767038">
        <w:rPr>
          <w:lang w:val="pl-PL"/>
        </w:rPr>
        <w:t>ów</w:t>
      </w:r>
      <w:r w:rsidR="00950EAE" w:rsidRPr="00767038">
        <w:rPr>
          <w:lang w:val="pl-PL"/>
        </w:rPr>
        <w:t xml:space="preserve">. </w:t>
      </w:r>
    </w:p>
    <w:p w:rsidR="001579AF" w:rsidRPr="00767038" w:rsidRDefault="00145F04" w:rsidP="00790E08">
      <w:pPr>
        <w:autoSpaceDE w:val="0"/>
        <w:autoSpaceDN w:val="0"/>
        <w:adjustRightInd w:val="0"/>
        <w:rPr>
          <w:rFonts w:cs="TimesNewRoman"/>
          <w:lang w:val="pl-PL"/>
        </w:rPr>
      </w:pPr>
      <w:r w:rsidRPr="00767038">
        <w:rPr>
          <w:lang w:val="pl-PL"/>
        </w:rPr>
        <w:t xml:space="preserve">Jeżeli chodzi o dokumentowanie procesu </w:t>
      </w:r>
      <w:r w:rsidR="001579AF" w:rsidRPr="00767038">
        <w:rPr>
          <w:lang w:val="pl-PL"/>
        </w:rPr>
        <w:t>certyfikacji</w:t>
      </w:r>
      <w:r w:rsidRPr="00767038">
        <w:rPr>
          <w:lang w:val="pl-PL"/>
        </w:rPr>
        <w:t>, IC powinna odwołać się do sekcji 3.3 Wytycznych finansowych w celu uzyskania szczegółowych informacji na temat rejestrów</w:t>
      </w:r>
      <w:r w:rsidR="005A6F96" w:rsidRPr="00767038">
        <w:rPr>
          <w:lang w:val="pl-PL"/>
        </w:rPr>
        <w:t xml:space="preserve">. </w:t>
      </w:r>
    </w:p>
    <w:p w:rsidR="00EA0104" w:rsidRPr="00767038" w:rsidRDefault="00145F04" w:rsidP="00A0039A">
      <w:pPr>
        <w:pStyle w:val="Nagwek2"/>
        <w:rPr>
          <w:lang w:val="pl-PL"/>
        </w:rPr>
      </w:pPr>
      <w:bookmarkStart w:id="79" w:name="_Ref461527835"/>
      <w:bookmarkStart w:id="80" w:name="_Toc505238516"/>
      <w:r w:rsidRPr="00767038">
        <w:rPr>
          <w:iCs/>
          <w:color w:val="000000"/>
          <w:lang w:val="pl-PL"/>
        </w:rPr>
        <w:lastRenderedPageBreak/>
        <w:t xml:space="preserve">Monitoring zgodności: weryfikacje prowadzone przez </w:t>
      </w:r>
      <w:r w:rsidR="00315981" w:rsidRPr="00767038">
        <w:rPr>
          <w:iCs/>
          <w:color w:val="000000"/>
          <w:lang w:val="pl-PL"/>
        </w:rPr>
        <w:t>Operator</w:t>
      </w:r>
      <w:r w:rsidR="000261F1">
        <w:rPr>
          <w:iCs/>
          <w:color w:val="000000"/>
          <w:lang w:val="pl-PL"/>
        </w:rPr>
        <w:t>a</w:t>
      </w:r>
      <w:r w:rsidR="00315981" w:rsidRPr="00767038">
        <w:rPr>
          <w:iCs/>
          <w:color w:val="000000"/>
          <w:lang w:val="pl-PL"/>
        </w:rPr>
        <w:t xml:space="preserve"> Programu</w:t>
      </w:r>
      <w:r w:rsidRPr="00767038">
        <w:rPr>
          <w:iCs/>
          <w:color w:val="000000"/>
          <w:lang w:val="pl-PL"/>
        </w:rPr>
        <w:t xml:space="preserve"> (art. </w:t>
      </w:r>
      <w:r w:rsidR="00B37EF1" w:rsidRPr="00767038">
        <w:rPr>
          <w:iCs/>
          <w:lang w:val="pl-PL"/>
        </w:rPr>
        <w:t>5.6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B37EF1" w:rsidRPr="00767038">
        <w:rPr>
          <w:iCs/>
          <w:lang w:val="pl-PL"/>
        </w:rPr>
        <w:t>)</w:t>
      </w:r>
      <w:bookmarkEnd w:id="79"/>
      <w:bookmarkEnd w:id="80"/>
    </w:p>
    <w:p w:rsidR="0069698B" w:rsidRPr="00767038" w:rsidRDefault="00145F04" w:rsidP="00C27B08">
      <w:pPr>
        <w:pStyle w:val="Nagwek3"/>
        <w:rPr>
          <w:lang w:val="pl-PL"/>
        </w:rPr>
      </w:pPr>
      <w:r w:rsidRPr="00767038">
        <w:rPr>
          <w:lang w:val="pl-PL"/>
        </w:rPr>
        <w:t>Cel</w:t>
      </w:r>
    </w:p>
    <w:p w:rsidR="00250384" w:rsidRPr="00767038" w:rsidRDefault="008F7E40" w:rsidP="00250384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Zgodnie z </w:t>
      </w:r>
      <w:r w:rsidR="005A62D3" w:rsidRPr="00767038">
        <w:rPr>
          <w:rFonts w:cs="Times New Roman"/>
          <w:color w:val="000000"/>
          <w:lang w:val="pl-PL"/>
        </w:rPr>
        <w:t>Regulacjami</w:t>
      </w:r>
      <w:r w:rsidRPr="00767038">
        <w:rPr>
          <w:rFonts w:cs="Times New Roman"/>
          <w:color w:val="000000"/>
          <w:lang w:val="pl-PL"/>
        </w:rPr>
        <w:t xml:space="preserve"> weryfikacje </w:t>
      </w:r>
      <w:r w:rsidR="00A35E94" w:rsidRPr="00767038">
        <w:rPr>
          <w:rFonts w:cs="Times New Roman"/>
          <w:color w:val="000000"/>
          <w:lang w:val="pl-PL"/>
        </w:rPr>
        <w:t>przeprowadzane</w:t>
      </w:r>
      <w:r w:rsidRPr="00767038">
        <w:rPr>
          <w:rFonts w:cs="Times New Roman"/>
          <w:color w:val="000000"/>
          <w:lang w:val="pl-PL"/>
        </w:rPr>
        <w:t xml:space="preserve"> przez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D654AE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Pr="00767038">
        <w:rPr>
          <w:rFonts w:cs="Times New Roman"/>
          <w:color w:val="000000"/>
          <w:lang w:val="pl-PL"/>
        </w:rPr>
        <w:t xml:space="preserve"> (monitoring zgodności) </w:t>
      </w:r>
      <w:r w:rsidR="00D654AE" w:rsidRPr="00767038">
        <w:rPr>
          <w:rFonts w:cs="Times New Roman"/>
          <w:color w:val="000000"/>
          <w:lang w:val="pl-PL"/>
        </w:rPr>
        <w:t xml:space="preserve">powinny </w:t>
      </w:r>
      <w:r w:rsidRPr="00767038">
        <w:rPr>
          <w:rFonts w:cs="Times New Roman"/>
          <w:color w:val="000000"/>
          <w:lang w:val="pl-PL"/>
        </w:rPr>
        <w:t>mieć formę</w:t>
      </w:r>
      <w:r w:rsidR="00250384" w:rsidRPr="00767038">
        <w:rPr>
          <w:rFonts w:cs="Times New Roman"/>
          <w:color w:val="000000"/>
          <w:lang w:val="pl-PL"/>
        </w:rPr>
        <w:t>:</w:t>
      </w:r>
    </w:p>
    <w:p w:rsidR="00250384" w:rsidRPr="00767038" w:rsidRDefault="008C7E9A" w:rsidP="008C2068">
      <w:pPr>
        <w:pStyle w:val="Akapitzlist"/>
        <w:numPr>
          <w:ilvl w:val="0"/>
          <w:numId w:val="30"/>
        </w:numPr>
        <w:spacing w:before="0" w:after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W</w:t>
      </w:r>
      <w:r w:rsidR="008F7E40" w:rsidRPr="00767038">
        <w:rPr>
          <w:lang w:val="pl-PL"/>
        </w:rPr>
        <w:t>eryfikacji</w:t>
      </w:r>
      <w:r w:rsidRPr="00767038">
        <w:rPr>
          <w:lang w:val="pl-PL"/>
        </w:rPr>
        <w:t>/</w:t>
      </w:r>
      <w:r w:rsidR="00572366" w:rsidRPr="00767038">
        <w:rPr>
          <w:lang w:val="pl-PL"/>
        </w:rPr>
        <w:t xml:space="preserve">kontroli </w:t>
      </w:r>
      <w:r w:rsidR="008F7E40" w:rsidRPr="00767038">
        <w:rPr>
          <w:lang w:val="pl-PL"/>
        </w:rPr>
        <w:t xml:space="preserve">administracyjnych w zakresie poniesionych wydatków zgłaszanych przez </w:t>
      </w:r>
      <w:r w:rsidR="00AC25C8" w:rsidRPr="00767038">
        <w:rPr>
          <w:lang w:val="pl-PL"/>
        </w:rPr>
        <w:t>beneficjent</w:t>
      </w:r>
      <w:r w:rsidR="00572366" w:rsidRPr="00767038">
        <w:rPr>
          <w:lang w:val="pl-PL"/>
        </w:rPr>
        <w:t>ów</w:t>
      </w:r>
      <w:r w:rsidR="00250384" w:rsidRPr="00767038">
        <w:rPr>
          <w:lang w:val="pl-PL"/>
        </w:rPr>
        <w:t>;</w:t>
      </w:r>
    </w:p>
    <w:p w:rsidR="00250384" w:rsidRPr="00767038" w:rsidRDefault="00657E78" w:rsidP="008C2068">
      <w:pPr>
        <w:pStyle w:val="Akapitzlist"/>
        <w:numPr>
          <w:ilvl w:val="0"/>
          <w:numId w:val="30"/>
        </w:numPr>
        <w:spacing w:before="0" w:after="0"/>
        <w:ind w:left="284" w:hanging="284"/>
        <w:contextualSpacing w:val="0"/>
        <w:rPr>
          <w:lang w:val="pl-PL"/>
        </w:rPr>
      </w:pPr>
      <w:r>
        <w:rPr>
          <w:lang w:val="pl-PL"/>
        </w:rPr>
        <w:t>W</w:t>
      </w:r>
      <w:r w:rsidR="008F7E40" w:rsidRPr="00767038">
        <w:rPr>
          <w:lang w:val="pl-PL"/>
        </w:rPr>
        <w:t>eryfikacji</w:t>
      </w:r>
      <w:r w:rsidR="008C7E9A" w:rsidRPr="00767038">
        <w:rPr>
          <w:lang w:val="pl-PL"/>
        </w:rPr>
        <w:t>/</w:t>
      </w:r>
      <w:r w:rsidR="00572366" w:rsidRPr="00767038">
        <w:rPr>
          <w:lang w:val="pl-PL"/>
        </w:rPr>
        <w:t xml:space="preserve">kontroli </w:t>
      </w:r>
      <w:r w:rsidR="008F7E40" w:rsidRPr="00767038">
        <w:rPr>
          <w:lang w:val="pl-PL"/>
        </w:rPr>
        <w:t xml:space="preserve">projektów </w:t>
      </w:r>
      <w:r w:rsidR="00572366" w:rsidRPr="00767038">
        <w:rPr>
          <w:lang w:val="pl-PL"/>
        </w:rPr>
        <w:t>na</w:t>
      </w:r>
      <w:r w:rsidR="008F7E40" w:rsidRPr="00767038">
        <w:rPr>
          <w:lang w:val="pl-PL"/>
        </w:rPr>
        <w:t xml:space="preserve"> miejscu ich realizacji</w:t>
      </w:r>
      <w:r w:rsidR="00250384" w:rsidRPr="00767038">
        <w:rPr>
          <w:lang w:val="pl-PL"/>
        </w:rPr>
        <w:t>.</w:t>
      </w:r>
    </w:p>
    <w:p w:rsidR="00716E75" w:rsidRPr="00767038" w:rsidRDefault="008F7E40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Weryfikacje powinny stanowić integralną część sy</w:t>
      </w:r>
      <w:r w:rsidR="009E4346" w:rsidRPr="00767038">
        <w:rPr>
          <w:rFonts w:cs="Times New Roman"/>
          <w:color w:val="000000"/>
          <w:lang w:val="pl-PL"/>
        </w:rPr>
        <w:t xml:space="preserve">stemu kontroli wewnętrznej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572366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="009E4346" w:rsidRPr="00767038">
        <w:rPr>
          <w:rFonts w:cs="Times New Roman"/>
          <w:color w:val="000000"/>
          <w:lang w:val="pl-PL"/>
        </w:rPr>
        <w:t xml:space="preserve"> i, jeżeli będą odpowiednio wdrożone, powinny także przyczyniać się do zapobiegania i wykrywania nadużyć</w:t>
      </w:r>
      <w:r w:rsidR="008A2B23" w:rsidRPr="00767038">
        <w:rPr>
          <w:rFonts w:cs="Times New Roman"/>
          <w:color w:val="000000"/>
          <w:lang w:val="pl-PL"/>
        </w:rPr>
        <w:t>.</w:t>
      </w:r>
    </w:p>
    <w:p w:rsidR="00716E75" w:rsidRPr="00767038" w:rsidRDefault="009E4346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Ponieważ zakres poświadczania wydatków przez IC nie obejmuje kosztów ponoszonych na poziomie projektów, lecz wyłącznie środki finansowe przekazywane przez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572366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Pr="00767038">
        <w:rPr>
          <w:rFonts w:cs="Times New Roman"/>
          <w:color w:val="000000"/>
          <w:lang w:val="pl-PL"/>
        </w:rPr>
        <w:t xml:space="preserve">, weryfikacje przeprowadzane przez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572366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Pr="00767038">
        <w:rPr>
          <w:rFonts w:cs="Times New Roman"/>
          <w:color w:val="000000"/>
          <w:lang w:val="pl-PL"/>
        </w:rPr>
        <w:t xml:space="preserve"> są niezwykle istotne w ogólnym procesie zapewniania legalności i prawidłowości wydatków na poziomie projektów</w:t>
      </w:r>
      <w:r w:rsidR="00716E75" w:rsidRPr="00767038">
        <w:rPr>
          <w:rFonts w:cs="Times New Roman"/>
          <w:color w:val="000000"/>
          <w:lang w:val="pl-PL"/>
        </w:rPr>
        <w:t xml:space="preserve">. </w:t>
      </w:r>
    </w:p>
    <w:p w:rsidR="0069698B" w:rsidRPr="00767038" w:rsidRDefault="00145F04" w:rsidP="00C27B08">
      <w:pPr>
        <w:pStyle w:val="Nagwek3"/>
        <w:rPr>
          <w:lang w:val="pl-PL"/>
        </w:rPr>
      </w:pPr>
      <w:r w:rsidRPr="00767038">
        <w:rPr>
          <w:lang w:val="pl-PL"/>
        </w:rPr>
        <w:t>Aspekty organizacyjne</w:t>
      </w:r>
    </w:p>
    <w:p w:rsidR="00716E75" w:rsidRPr="00767038" w:rsidRDefault="009E4346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b/>
          <w:bCs/>
          <w:szCs w:val="20"/>
          <w:lang w:val="pl-PL"/>
        </w:rPr>
        <w:t>Zasoby</w:t>
      </w:r>
      <w:r w:rsidR="00716E75" w:rsidRPr="00767038">
        <w:rPr>
          <w:b/>
          <w:bCs/>
          <w:szCs w:val="20"/>
          <w:lang w:val="pl-PL"/>
        </w:rPr>
        <w:t>:</w:t>
      </w:r>
      <w:r w:rsidR="00D368BB" w:rsidRPr="00767038">
        <w:rPr>
          <w:b/>
          <w:bCs/>
          <w:szCs w:val="20"/>
          <w:lang w:val="pl-PL"/>
        </w:rPr>
        <w:t xml:space="preserve"> </w:t>
      </w:r>
      <w:r w:rsidR="00315981" w:rsidRPr="00767038">
        <w:rPr>
          <w:color w:val="000000"/>
          <w:lang w:val="pl-PL"/>
        </w:rPr>
        <w:t>Operator Programu</w:t>
      </w:r>
      <w:r w:rsidRPr="00767038">
        <w:rPr>
          <w:color w:val="000000"/>
          <w:lang w:val="pl-PL"/>
        </w:rPr>
        <w:t xml:space="preserve"> jest odpowiedzialny za planowanie, zarządzanie i ocenę swoich wewnętrznych zdolności w zakresie identyfikacji liczby i wartości projektów, którymi może odpowiednio zarządzać</w:t>
      </w:r>
      <w:r w:rsidR="00716E75" w:rsidRPr="00767038">
        <w:rPr>
          <w:color w:val="000000"/>
          <w:lang w:val="pl-PL"/>
        </w:rPr>
        <w:t>.</w:t>
      </w:r>
      <w:r w:rsidRPr="00767038">
        <w:rPr>
          <w:color w:val="000000"/>
          <w:lang w:val="pl-PL"/>
        </w:rPr>
        <w:t xml:space="preserve"> Powinien dążyć do zdobycia adekwatnych zasobów ludzkich z odpowiednim doświadczeniem</w:t>
      </w:r>
      <w:r w:rsidR="00716E75" w:rsidRPr="00767038">
        <w:rPr>
          <w:color w:val="000000"/>
          <w:lang w:val="pl-PL"/>
        </w:rPr>
        <w:t xml:space="preserve">. </w:t>
      </w:r>
      <w:r w:rsidRPr="00767038">
        <w:rPr>
          <w:color w:val="000000"/>
          <w:lang w:val="pl-PL"/>
        </w:rPr>
        <w:t xml:space="preserve">W szczególności personel </w:t>
      </w:r>
      <w:r w:rsidR="00315981" w:rsidRPr="00767038">
        <w:rPr>
          <w:color w:val="000000"/>
          <w:lang w:val="pl-PL"/>
        </w:rPr>
        <w:t>Operator</w:t>
      </w:r>
      <w:r w:rsidR="00572366" w:rsidRPr="00767038">
        <w:rPr>
          <w:color w:val="000000"/>
          <w:lang w:val="pl-PL"/>
        </w:rPr>
        <w:t>a</w:t>
      </w:r>
      <w:r w:rsidR="00315981" w:rsidRPr="00767038">
        <w:rPr>
          <w:color w:val="000000"/>
          <w:lang w:val="pl-PL"/>
        </w:rPr>
        <w:t xml:space="preserve"> Programu</w:t>
      </w:r>
      <w:r w:rsidRPr="00767038">
        <w:rPr>
          <w:color w:val="000000"/>
          <w:lang w:val="pl-PL"/>
        </w:rPr>
        <w:t xml:space="preserve"> przeprowadzający weryfikacje powinien mieć zarówno umiejętności kontrolera, jak i wiedzę na temat </w:t>
      </w:r>
      <w:r w:rsidR="00572366" w:rsidRPr="00767038">
        <w:rPr>
          <w:color w:val="000000"/>
          <w:lang w:val="pl-PL"/>
        </w:rPr>
        <w:t xml:space="preserve">regulacji </w:t>
      </w:r>
      <w:r w:rsidRPr="00767038">
        <w:rPr>
          <w:color w:val="000000"/>
          <w:lang w:val="pl-PL"/>
        </w:rPr>
        <w:t xml:space="preserve">krajowych, </w:t>
      </w:r>
      <w:r w:rsidR="00572366" w:rsidRPr="00767038">
        <w:rPr>
          <w:color w:val="000000"/>
          <w:lang w:val="pl-PL"/>
        </w:rPr>
        <w:t>Unii E</w:t>
      </w:r>
      <w:r w:rsidRPr="00767038">
        <w:rPr>
          <w:color w:val="000000"/>
          <w:lang w:val="pl-PL"/>
        </w:rPr>
        <w:t>uropejski</w:t>
      </w:r>
      <w:r w:rsidR="00572366" w:rsidRPr="00767038">
        <w:rPr>
          <w:color w:val="000000"/>
          <w:lang w:val="pl-PL"/>
        </w:rPr>
        <w:t>ej oraz</w:t>
      </w:r>
      <w:r w:rsidRPr="00767038">
        <w:rPr>
          <w:color w:val="000000"/>
          <w:lang w:val="pl-PL"/>
        </w:rPr>
        <w:t xml:space="preserve"> zasad i </w:t>
      </w:r>
      <w:r w:rsidR="00572366" w:rsidRPr="00767038">
        <w:rPr>
          <w:color w:val="000000"/>
          <w:lang w:val="pl-PL"/>
        </w:rPr>
        <w:t>R</w:t>
      </w:r>
      <w:r w:rsidRPr="00767038">
        <w:rPr>
          <w:color w:val="000000"/>
          <w:lang w:val="pl-PL"/>
        </w:rPr>
        <w:t xml:space="preserve">egulacji obowiązujących w </w:t>
      </w:r>
      <w:r w:rsidR="00572366" w:rsidRPr="00767038">
        <w:rPr>
          <w:color w:val="000000"/>
          <w:lang w:val="pl-PL"/>
        </w:rPr>
        <w:t xml:space="preserve">ramach Mechanizmów Finansowych </w:t>
      </w:r>
      <w:r w:rsidR="00716E75" w:rsidRPr="00767038">
        <w:rPr>
          <w:color w:val="000000"/>
          <w:lang w:val="pl-PL"/>
        </w:rPr>
        <w:t>(</w:t>
      </w:r>
      <w:r w:rsidRPr="00767038">
        <w:rPr>
          <w:color w:val="000000"/>
          <w:lang w:val="pl-PL"/>
        </w:rPr>
        <w:t xml:space="preserve">między innymi zasad kwalifikowalności, zasad pomocy </w:t>
      </w:r>
      <w:r w:rsidR="00572366" w:rsidRPr="00767038">
        <w:rPr>
          <w:color w:val="000000"/>
          <w:lang w:val="pl-PL"/>
        </w:rPr>
        <w:t>publicznej</w:t>
      </w:r>
      <w:r w:rsidRPr="00767038">
        <w:rPr>
          <w:color w:val="000000"/>
          <w:lang w:val="pl-PL"/>
        </w:rPr>
        <w:t xml:space="preserve">, zasad zamówień publicznych, </w:t>
      </w:r>
      <w:r w:rsidR="00572366" w:rsidRPr="00767038">
        <w:rPr>
          <w:color w:val="000000"/>
          <w:lang w:val="pl-PL"/>
        </w:rPr>
        <w:t xml:space="preserve">funkcjonowania </w:t>
      </w:r>
      <w:r w:rsidRPr="00767038">
        <w:rPr>
          <w:color w:val="000000"/>
          <w:lang w:val="pl-PL"/>
        </w:rPr>
        <w:t>instrumentów finansowych)</w:t>
      </w:r>
      <w:r w:rsidR="00716E75" w:rsidRPr="00767038">
        <w:rPr>
          <w:color w:val="000000"/>
          <w:lang w:val="pl-PL"/>
        </w:rPr>
        <w:t xml:space="preserve">. </w:t>
      </w:r>
      <w:r w:rsidRPr="00767038">
        <w:rPr>
          <w:color w:val="000000"/>
          <w:lang w:val="pl-PL"/>
        </w:rPr>
        <w:t xml:space="preserve">W sytuacjach, w których ze względu na duży wolumen lub techniczną złożoność projektu podlegającego weryfikacji </w:t>
      </w:r>
      <w:r w:rsidR="00315981" w:rsidRPr="00767038">
        <w:rPr>
          <w:color w:val="000000"/>
          <w:lang w:val="pl-PL"/>
        </w:rPr>
        <w:t>Operator Programu</w:t>
      </w:r>
      <w:r w:rsidRPr="00767038">
        <w:rPr>
          <w:color w:val="000000"/>
          <w:lang w:val="pl-PL"/>
        </w:rPr>
        <w:t xml:space="preserve"> uzna, że nie posiada wystarczającej liczby pracowników lub wiedzy do przeprowadzania weryfikacji samodzielnie, właściwym rozwiązaniem może być zatrudnienie zewnętrznego eksperta do przeprowadzania części lub wszystkich elementów weryfikacji</w:t>
      </w:r>
      <w:r w:rsidR="00716E75" w:rsidRPr="00767038">
        <w:rPr>
          <w:color w:val="000000"/>
          <w:lang w:val="pl-PL"/>
        </w:rPr>
        <w:t xml:space="preserve">. </w:t>
      </w:r>
    </w:p>
    <w:p w:rsidR="00716E75" w:rsidRPr="00767038" w:rsidRDefault="009E4346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b/>
          <w:bCs/>
          <w:szCs w:val="20"/>
          <w:lang w:val="pl-PL"/>
        </w:rPr>
        <w:t>Podział obowiązków</w:t>
      </w:r>
      <w:r w:rsidR="00716E75" w:rsidRPr="00767038">
        <w:rPr>
          <w:b/>
          <w:bCs/>
          <w:szCs w:val="20"/>
          <w:lang w:val="pl-PL"/>
        </w:rPr>
        <w:t>:</w:t>
      </w:r>
      <w:r w:rsidR="00D368BB" w:rsidRPr="00767038">
        <w:rPr>
          <w:b/>
          <w:bCs/>
          <w:szCs w:val="20"/>
          <w:lang w:val="pl-PL"/>
        </w:rPr>
        <w:t xml:space="preserve"> </w:t>
      </w:r>
      <w:r w:rsidR="00446DC6" w:rsidRPr="00767038">
        <w:rPr>
          <w:color w:val="000000"/>
          <w:lang w:val="pl-PL"/>
        </w:rPr>
        <w:t xml:space="preserve">w celu zapewnienia zgodności z zasadą rozdziału funkcji i w celu uniknięcia </w:t>
      </w:r>
      <w:proofErr w:type="spellStart"/>
      <w:r w:rsidR="00446DC6" w:rsidRPr="00767038">
        <w:rPr>
          <w:color w:val="000000"/>
          <w:lang w:val="pl-PL"/>
        </w:rPr>
        <w:t>ryzyk</w:t>
      </w:r>
      <w:proofErr w:type="spellEnd"/>
      <w:r w:rsidR="00446DC6" w:rsidRPr="00767038">
        <w:rPr>
          <w:color w:val="000000"/>
          <w:lang w:val="pl-PL"/>
        </w:rPr>
        <w:t xml:space="preserve"> w sytuacji, w której </w:t>
      </w:r>
      <w:r w:rsidR="00315981" w:rsidRPr="00767038">
        <w:rPr>
          <w:color w:val="000000"/>
          <w:lang w:val="pl-PL"/>
        </w:rPr>
        <w:t>Operator Programu</w:t>
      </w:r>
      <w:r w:rsidR="00446DC6" w:rsidRPr="00767038">
        <w:rPr>
          <w:color w:val="000000"/>
          <w:lang w:val="pl-PL"/>
        </w:rPr>
        <w:t xml:space="preserve"> jest odpowiedzialny za</w:t>
      </w:r>
      <w:r w:rsidR="00716E75" w:rsidRPr="00767038">
        <w:rPr>
          <w:color w:val="000000"/>
          <w:lang w:val="pl-PL"/>
        </w:rPr>
        <w:t xml:space="preserve"> (i) </w:t>
      </w:r>
      <w:r w:rsidR="00446DC6" w:rsidRPr="00767038">
        <w:rPr>
          <w:color w:val="000000"/>
          <w:lang w:val="pl-PL"/>
        </w:rPr>
        <w:t>wybór i zatwierdzanie projektów, (ii) weryfikacje</w:t>
      </w:r>
      <w:r w:rsidR="00D368BB" w:rsidRPr="00767038">
        <w:rPr>
          <w:color w:val="000000"/>
          <w:lang w:val="pl-PL"/>
        </w:rPr>
        <w:t>,</w:t>
      </w:r>
      <w:r w:rsidR="00446DC6" w:rsidRPr="00767038">
        <w:rPr>
          <w:color w:val="000000"/>
          <w:lang w:val="pl-PL"/>
        </w:rPr>
        <w:t xml:space="preserve"> i</w:t>
      </w:r>
      <w:r w:rsidR="00716E75" w:rsidRPr="00767038">
        <w:rPr>
          <w:color w:val="000000"/>
          <w:lang w:val="pl-PL"/>
        </w:rPr>
        <w:t xml:space="preserve"> (iii) </w:t>
      </w:r>
      <w:r w:rsidR="00446DC6" w:rsidRPr="00767038">
        <w:rPr>
          <w:color w:val="000000"/>
          <w:lang w:val="pl-PL"/>
        </w:rPr>
        <w:t>płatności</w:t>
      </w:r>
      <w:r w:rsidR="00716E75" w:rsidRPr="00767038">
        <w:rPr>
          <w:color w:val="000000"/>
          <w:lang w:val="pl-PL"/>
        </w:rPr>
        <w:t xml:space="preserve">, </w:t>
      </w:r>
      <w:r w:rsidR="00446DC6" w:rsidRPr="00767038">
        <w:rPr>
          <w:color w:val="000000"/>
          <w:lang w:val="pl-PL"/>
        </w:rPr>
        <w:t>należy zapewnić odpowiedni podział obowiązków między tymi trzema funkcjami</w:t>
      </w:r>
      <w:r w:rsidR="00716E75" w:rsidRPr="00767038">
        <w:rPr>
          <w:color w:val="000000"/>
          <w:lang w:val="pl-PL"/>
        </w:rPr>
        <w:t xml:space="preserve">. </w:t>
      </w:r>
      <w:r w:rsidR="00446DC6" w:rsidRPr="00767038">
        <w:rPr>
          <w:color w:val="000000"/>
          <w:lang w:val="pl-PL"/>
        </w:rPr>
        <w:t xml:space="preserve">Jeżeli </w:t>
      </w:r>
      <w:r w:rsidR="00315981" w:rsidRPr="00767038">
        <w:rPr>
          <w:color w:val="000000"/>
          <w:lang w:val="pl-PL"/>
        </w:rPr>
        <w:t>Operator Programu</w:t>
      </w:r>
      <w:r w:rsidR="00446DC6" w:rsidRPr="00767038">
        <w:rPr>
          <w:color w:val="000000"/>
          <w:lang w:val="pl-PL"/>
        </w:rPr>
        <w:t xml:space="preserve"> jest także </w:t>
      </w:r>
      <w:r w:rsidR="00AC25C8" w:rsidRPr="00767038">
        <w:rPr>
          <w:color w:val="000000"/>
          <w:lang w:val="pl-PL"/>
        </w:rPr>
        <w:t>beneficjent</w:t>
      </w:r>
      <w:r w:rsidR="00572366" w:rsidRPr="00767038">
        <w:rPr>
          <w:color w:val="000000"/>
          <w:lang w:val="pl-PL"/>
        </w:rPr>
        <w:t>em</w:t>
      </w:r>
      <w:r w:rsidR="00446DC6" w:rsidRPr="00767038">
        <w:rPr>
          <w:color w:val="000000"/>
          <w:lang w:val="pl-PL"/>
        </w:rPr>
        <w:t xml:space="preserve">, odpowiedni podział obowiązków można osiągnąć, np. przez </w:t>
      </w:r>
      <w:r w:rsidR="00572366" w:rsidRPr="00767038">
        <w:rPr>
          <w:color w:val="000000"/>
          <w:lang w:val="pl-PL"/>
        </w:rPr>
        <w:t xml:space="preserve">przypisanie zdań weryfikacji </w:t>
      </w:r>
      <w:r w:rsidR="00446DC6" w:rsidRPr="00767038">
        <w:rPr>
          <w:color w:val="000000"/>
          <w:lang w:val="pl-PL"/>
        </w:rPr>
        <w:t>oddzielne</w:t>
      </w:r>
      <w:r w:rsidR="00572366" w:rsidRPr="00767038">
        <w:rPr>
          <w:color w:val="000000"/>
          <w:lang w:val="pl-PL"/>
        </w:rPr>
        <w:t>mu</w:t>
      </w:r>
      <w:r w:rsidR="00446DC6" w:rsidRPr="00767038">
        <w:rPr>
          <w:color w:val="000000"/>
          <w:lang w:val="pl-PL"/>
        </w:rPr>
        <w:t xml:space="preserve"> dział</w:t>
      </w:r>
      <w:r w:rsidR="00572366" w:rsidRPr="00767038">
        <w:rPr>
          <w:color w:val="000000"/>
          <w:lang w:val="pl-PL"/>
        </w:rPr>
        <w:t>owi</w:t>
      </w:r>
      <w:r w:rsidR="00446DC6" w:rsidRPr="00767038">
        <w:rPr>
          <w:color w:val="000000"/>
          <w:lang w:val="pl-PL"/>
        </w:rPr>
        <w:t xml:space="preserve"> w ramach tej samej organizacji, który jest niezależny od działu </w:t>
      </w:r>
      <w:r w:rsidR="00AC25C8" w:rsidRPr="00767038">
        <w:rPr>
          <w:color w:val="000000"/>
          <w:lang w:val="pl-PL"/>
        </w:rPr>
        <w:t>beneficjenta</w:t>
      </w:r>
      <w:r w:rsidR="00716E75" w:rsidRPr="00767038">
        <w:rPr>
          <w:color w:val="000000"/>
          <w:lang w:val="pl-PL"/>
        </w:rPr>
        <w:t xml:space="preserve">. </w:t>
      </w:r>
      <w:r w:rsidR="00446DC6" w:rsidRPr="00767038">
        <w:rPr>
          <w:color w:val="000000"/>
          <w:lang w:val="pl-PL"/>
        </w:rPr>
        <w:t>Pracowni</w:t>
      </w:r>
      <w:r w:rsidR="00572366" w:rsidRPr="00767038">
        <w:rPr>
          <w:color w:val="000000"/>
          <w:lang w:val="pl-PL"/>
        </w:rPr>
        <w:t>cy</w:t>
      </w:r>
      <w:r w:rsidR="00446DC6" w:rsidRPr="00767038">
        <w:rPr>
          <w:color w:val="000000"/>
          <w:lang w:val="pl-PL"/>
        </w:rPr>
        <w:t xml:space="preserve"> przeprowadzający weryfikacje nie </w:t>
      </w:r>
      <w:r w:rsidR="00844722" w:rsidRPr="00767038">
        <w:rPr>
          <w:color w:val="000000"/>
          <w:lang w:val="pl-PL"/>
        </w:rPr>
        <w:t>powinn</w:t>
      </w:r>
      <w:r w:rsidR="00B376E6">
        <w:rPr>
          <w:color w:val="000000"/>
          <w:lang w:val="pl-PL"/>
        </w:rPr>
        <w:t>i</w:t>
      </w:r>
      <w:r w:rsidR="00844722" w:rsidRPr="00767038">
        <w:rPr>
          <w:color w:val="000000"/>
          <w:lang w:val="pl-PL"/>
        </w:rPr>
        <w:t xml:space="preserve"> być za</w:t>
      </w:r>
      <w:r w:rsidR="00446DC6" w:rsidRPr="00767038">
        <w:rPr>
          <w:color w:val="000000"/>
          <w:lang w:val="pl-PL"/>
        </w:rPr>
        <w:t>angaż</w:t>
      </w:r>
      <w:r w:rsidR="00844722" w:rsidRPr="00767038">
        <w:rPr>
          <w:color w:val="000000"/>
          <w:lang w:val="pl-PL"/>
        </w:rPr>
        <w:t>owani</w:t>
      </w:r>
      <w:r w:rsidR="00446DC6" w:rsidRPr="00767038">
        <w:rPr>
          <w:color w:val="000000"/>
          <w:lang w:val="pl-PL"/>
        </w:rPr>
        <w:t xml:space="preserve"> w audyty systemów lub audyty projektów przeprowadzanych w ramach zakresu zadań IA i odwrotnie</w:t>
      </w:r>
      <w:r w:rsidR="00716E75" w:rsidRPr="00767038">
        <w:rPr>
          <w:color w:val="000000"/>
          <w:lang w:val="pl-PL"/>
        </w:rPr>
        <w:t xml:space="preserve">. </w:t>
      </w:r>
    </w:p>
    <w:p w:rsidR="00A81D30" w:rsidRPr="00767038" w:rsidRDefault="00446DC6" w:rsidP="00376576">
      <w:pPr>
        <w:autoSpaceDE w:val="0"/>
        <w:autoSpaceDN w:val="0"/>
        <w:adjustRightInd w:val="0"/>
        <w:rPr>
          <w:rFonts w:cs="ACaslon-Regular"/>
          <w:b/>
          <w:szCs w:val="20"/>
          <w:lang w:val="pl-PL"/>
        </w:rPr>
      </w:pPr>
      <w:r w:rsidRPr="00767038">
        <w:rPr>
          <w:b/>
          <w:bCs/>
          <w:lang w:val="pl-PL"/>
        </w:rPr>
        <w:t>Weryfikacje a audyty</w:t>
      </w:r>
      <w:r w:rsidR="00181F88" w:rsidRPr="00767038">
        <w:rPr>
          <w:b/>
          <w:bCs/>
          <w:szCs w:val="20"/>
          <w:lang w:val="pl-PL"/>
        </w:rPr>
        <w:t xml:space="preserve">: </w:t>
      </w:r>
      <w:r w:rsidRPr="00767038">
        <w:rPr>
          <w:color w:val="000000"/>
          <w:lang w:val="pl-PL"/>
        </w:rPr>
        <w:t xml:space="preserve">cele weryfikacji przeprowadzanych przez </w:t>
      </w:r>
      <w:r w:rsidR="00315981" w:rsidRPr="00767038">
        <w:rPr>
          <w:color w:val="000000"/>
          <w:lang w:val="pl-PL"/>
        </w:rPr>
        <w:t>Operator</w:t>
      </w:r>
      <w:r w:rsidR="00844722" w:rsidRPr="00767038">
        <w:rPr>
          <w:color w:val="000000"/>
          <w:lang w:val="pl-PL"/>
        </w:rPr>
        <w:t>a</w:t>
      </w:r>
      <w:r w:rsidR="00315981" w:rsidRPr="00767038">
        <w:rPr>
          <w:color w:val="000000"/>
          <w:lang w:val="pl-PL"/>
        </w:rPr>
        <w:t xml:space="preserve"> Programu</w:t>
      </w:r>
      <w:r w:rsidRPr="00767038">
        <w:rPr>
          <w:color w:val="000000"/>
          <w:lang w:val="pl-PL"/>
        </w:rPr>
        <w:t xml:space="preserve"> różnią się od celów audytów przeprowadzanych w ramach zakresu zadań IA</w:t>
      </w:r>
      <w:r w:rsidR="00181F88" w:rsidRPr="00767038">
        <w:rPr>
          <w:color w:val="000000"/>
          <w:lang w:val="pl-PL"/>
        </w:rPr>
        <w:t>,</w:t>
      </w:r>
      <w:r w:rsidRPr="00767038">
        <w:rPr>
          <w:color w:val="000000"/>
          <w:lang w:val="pl-PL"/>
        </w:rPr>
        <w:t xml:space="preserve"> przy czym te ostatnie przeprowadza się zasadniczo ex post. Celem audytów jest dokonanie oceny, czy kontrole wewnętrzne działają skutecznie, podczas gdy weryfikacje stanowią element kontroli wewnętrznych</w:t>
      </w:r>
      <w:r w:rsidR="00181F88" w:rsidRPr="00767038">
        <w:rPr>
          <w:color w:val="000000"/>
          <w:lang w:val="pl-PL"/>
        </w:rPr>
        <w:t>.</w:t>
      </w:r>
      <w:r w:rsidRPr="00767038">
        <w:rPr>
          <w:color w:val="000000"/>
          <w:lang w:val="pl-PL"/>
        </w:rPr>
        <w:t xml:space="preserve"> Z tego względu te dwa rodzaje zadań należy jednoznacznie odróżnić w planowaniu, organizacji, realizacji, treści i dokumentacji</w:t>
      </w:r>
      <w:r w:rsidR="00181F88" w:rsidRPr="00767038">
        <w:rPr>
          <w:color w:val="000000"/>
          <w:lang w:val="pl-PL"/>
        </w:rPr>
        <w:t xml:space="preserve">. </w:t>
      </w:r>
    </w:p>
    <w:p w:rsidR="000136DF" w:rsidRPr="00767038" w:rsidRDefault="00C53911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lastRenderedPageBreak/>
        <w:t xml:space="preserve">Mimo że </w:t>
      </w:r>
      <w:r w:rsidR="00805AF3" w:rsidRPr="00767038">
        <w:rPr>
          <w:color w:val="000000"/>
          <w:lang w:val="pl-PL"/>
        </w:rPr>
        <w:t>rozdziela się</w:t>
      </w:r>
      <w:r w:rsidR="00844722" w:rsidRPr="00767038">
        <w:rPr>
          <w:color w:val="000000"/>
          <w:lang w:val="pl-PL"/>
        </w:rPr>
        <w:t xml:space="preserve"> </w:t>
      </w:r>
      <w:r w:rsidRPr="00767038">
        <w:rPr>
          <w:rFonts w:cs="Times New Roman"/>
          <w:color w:val="000000"/>
          <w:lang w:val="pl-PL"/>
        </w:rPr>
        <w:t>wery</w:t>
      </w:r>
      <w:r w:rsidR="00805AF3" w:rsidRPr="00767038">
        <w:rPr>
          <w:rFonts w:cs="Times New Roman"/>
          <w:color w:val="000000"/>
          <w:lang w:val="pl-PL"/>
        </w:rPr>
        <w:t>fikacje przeprowadz</w:t>
      </w:r>
      <w:r w:rsidR="00A9796C" w:rsidRPr="00767038">
        <w:rPr>
          <w:rFonts w:cs="Times New Roman"/>
          <w:color w:val="000000"/>
          <w:lang w:val="pl-PL"/>
        </w:rPr>
        <w:t>a</w:t>
      </w:r>
      <w:r w:rsidR="00805AF3" w:rsidRPr="00767038">
        <w:rPr>
          <w:rFonts w:cs="Times New Roman"/>
          <w:color w:val="000000"/>
          <w:lang w:val="pl-PL"/>
        </w:rPr>
        <w:t>n</w:t>
      </w:r>
      <w:r w:rsidR="00A9796C" w:rsidRPr="00767038">
        <w:rPr>
          <w:rFonts w:cs="Times New Roman"/>
          <w:color w:val="000000"/>
          <w:lang w:val="pl-PL"/>
        </w:rPr>
        <w:t>e</w:t>
      </w:r>
      <w:r w:rsidR="00805AF3" w:rsidRPr="00767038">
        <w:rPr>
          <w:rFonts w:cs="Times New Roman"/>
          <w:color w:val="000000"/>
          <w:lang w:val="pl-PL"/>
        </w:rPr>
        <w:t xml:space="preserve"> przez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844722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="00805AF3" w:rsidRPr="00767038">
        <w:rPr>
          <w:rFonts w:cs="Times New Roman"/>
          <w:color w:val="000000"/>
          <w:lang w:val="pl-PL"/>
        </w:rPr>
        <w:t xml:space="preserve"> od</w:t>
      </w:r>
      <w:r w:rsidRPr="00767038">
        <w:rPr>
          <w:rFonts w:cs="Times New Roman"/>
          <w:color w:val="000000"/>
          <w:lang w:val="pl-PL"/>
        </w:rPr>
        <w:t xml:space="preserve"> audy</w:t>
      </w:r>
      <w:r w:rsidR="00805AF3" w:rsidRPr="00767038">
        <w:rPr>
          <w:rFonts w:cs="Times New Roman"/>
          <w:color w:val="000000"/>
          <w:lang w:val="pl-PL"/>
        </w:rPr>
        <w:t xml:space="preserve">tów </w:t>
      </w:r>
      <w:r w:rsidR="00805AF3" w:rsidRPr="00767038">
        <w:rPr>
          <w:color w:val="000000"/>
          <w:lang w:val="pl-PL"/>
        </w:rPr>
        <w:t>w ramach zakresu zadań IA, nie</w:t>
      </w:r>
      <w:r w:rsidR="00805AF3" w:rsidRPr="00767038">
        <w:rPr>
          <w:rFonts w:cs="Times New Roman"/>
          <w:color w:val="000000"/>
          <w:lang w:val="pl-PL"/>
        </w:rPr>
        <w:t xml:space="preserve">zbędna jest wymiana informacji między służbami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844722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="00805AF3" w:rsidRPr="00767038">
        <w:rPr>
          <w:rFonts w:cs="Times New Roman"/>
          <w:color w:val="000000"/>
          <w:lang w:val="pl-PL"/>
        </w:rPr>
        <w:t>, KPK, IC i IA</w:t>
      </w:r>
      <w:r w:rsidR="000136DF" w:rsidRPr="00767038">
        <w:rPr>
          <w:rFonts w:cs="Times New Roman"/>
          <w:color w:val="000000"/>
          <w:lang w:val="pl-PL"/>
        </w:rPr>
        <w:t>.</w:t>
      </w:r>
    </w:p>
    <w:p w:rsidR="00386D12" w:rsidRPr="00767038" w:rsidRDefault="00C53911" w:rsidP="00C27B08">
      <w:pPr>
        <w:pStyle w:val="Nagwek3"/>
        <w:rPr>
          <w:lang w:val="pl-PL"/>
        </w:rPr>
      </w:pPr>
      <w:r w:rsidRPr="00767038">
        <w:rPr>
          <w:lang w:val="pl-PL"/>
        </w:rPr>
        <w:t>Zakres</w:t>
      </w:r>
      <w:r w:rsidR="0043330F" w:rsidRPr="00767038">
        <w:rPr>
          <w:lang w:val="pl-PL"/>
        </w:rPr>
        <w:t>, procedur</w:t>
      </w:r>
      <w:r w:rsidRPr="00767038">
        <w:rPr>
          <w:lang w:val="pl-PL"/>
        </w:rPr>
        <w:t>y i rejestry</w:t>
      </w:r>
    </w:p>
    <w:p w:rsidR="00716E75" w:rsidRPr="00767038" w:rsidRDefault="00805AF3" w:rsidP="00376576">
      <w:pPr>
        <w:rPr>
          <w:lang w:val="pl-PL"/>
        </w:rPr>
      </w:pPr>
      <w:r w:rsidRPr="00767038">
        <w:rPr>
          <w:rFonts w:cs="Times New Roman"/>
          <w:b/>
          <w:bCs/>
          <w:color w:val="000000"/>
          <w:lang w:val="pl-PL"/>
        </w:rPr>
        <w:t>Zakres</w:t>
      </w:r>
      <w:r w:rsidR="0043330F" w:rsidRPr="00767038">
        <w:rPr>
          <w:rFonts w:cs="Times New Roman"/>
          <w:b/>
          <w:bCs/>
          <w:color w:val="000000"/>
          <w:lang w:val="pl-PL"/>
        </w:rPr>
        <w:t>:</w:t>
      </w:r>
      <w:r w:rsidR="00D368BB" w:rsidRPr="00767038">
        <w:rPr>
          <w:rFonts w:cs="Times New Roman"/>
          <w:b/>
          <w:bCs/>
          <w:color w:val="000000"/>
          <w:lang w:val="pl-PL"/>
        </w:rPr>
        <w:t xml:space="preserve"> </w:t>
      </w:r>
      <w:r w:rsidRPr="00767038">
        <w:rPr>
          <w:rFonts w:cs="Times New Roman"/>
          <w:color w:val="000000"/>
          <w:lang w:val="pl-PL"/>
        </w:rPr>
        <w:t xml:space="preserve">weryfikacje </w:t>
      </w:r>
      <w:r w:rsidR="00A35E94" w:rsidRPr="00767038">
        <w:rPr>
          <w:rFonts w:cs="Times New Roman"/>
          <w:color w:val="000000"/>
          <w:lang w:val="pl-PL"/>
        </w:rPr>
        <w:t>prowadzo</w:t>
      </w:r>
      <w:r w:rsidR="00A35E94">
        <w:rPr>
          <w:rFonts w:cs="Times New Roman"/>
          <w:color w:val="000000"/>
          <w:lang w:val="pl-PL"/>
        </w:rPr>
        <w:t>ne</w:t>
      </w:r>
      <w:r w:rsidR="0043330F" w:rsidRPr="00767038">
        <w:rPr>
          <w:rFonts w:cs="Times New Roman"/>
          <w:color w:val="000000"/>
          <w:lang w:val="pl-PL"/>
        </w:rPr>
        <w:t xml:space="preserve"> </w:t>
      </w:r>
      <w:r w:rsidRPr="00767038">
        <w:rPr>
          <w:rFonts w:cs="Times New Roman"/>
          <w:color w:val="000000"/>
          <w:lang w:val="pl-PL"/>
        </w:rPr>
        <w:t xml:space="preserve">przez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945B0F" w:rsidRPr="00767038">
        <w:rPr>
          <w:rFonts w:cs="Times New Roman"/>
          <w:color w:val="000000"/>
          <w:lang w:val="pl-PL"/>
        </w:rPr>
        <w:t>a</w:t>
      </w:r>
      <w:r w:rsidR="00315981" w:rsidRPr="00767038">
        <w:rPr>
          <w:rFonts w:cs="Times New Roman"/>
          <w:color w:val="000000"/>
          <w:lang w:val="pl-PL"/>
        </w:rPr>
        <w:t xml:space="preserve"> Programu</w:t>
      </w:r>
      <w:r w:rsidRPr="00767038">
        <w:rPr>
          <w:rFonts w:cs="Times New Roman"/>
          <w:color w:val="000000"/>
          <w:lang w:val="pl-PL"/>
        </w:rPr>
        <w:t xml:space="preserve"> obejmują administracyjne, finansowe, techniczne i </w:t>
      </w:r>
      <w:r w:rsidR="00945B0F" w:rsidRPr="00767038">
        <w:rPr>
          <w:rFonts w:cs="Times New Roman"/>
          <w:color w:val="000000"/>
          <w:lang w:val="pl-PL"/>
        </w:rPr>
        <w:t xml:space="preserve">rzeczowe aspekty </w:t>
      </w:r>
      <w:r w:rsidRPr="00767038">
        <w:rPr>
          <w:rFonts w:cs="Times New Roman"/>
          <w:color w:val="000000"/>
          <w:lang w:val="pl-PL"/>
        </w:rPr>
        <w:t>projektów, w szczególności</w:t>
      </w:r>
      <w:r w:rsidR="0043330F" w:rsidRPr="00767038">
        <w:rPr>
          <w:rFonts w:cs="Times New Roman"/>
          <w:color w:val="000000"/>
          <w:lang w:val="pl-PL"/>
        </w:rPr>
        <w:t>:</w:t>
      </w:r>
    </w:p>
    <w:p w:rsidR="00B37EF1" w:rsidRPr="00767038" w:rsidRDefault="00FB2938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25B11E" wp14:editId="2A08CF79">
                <wp:simplePos x="0" y="0"/>
                <wp:positionH relativeFrom="margin">
                  <wp:posOffset>2457450</wp:posOffset>
                </wp:positionH>
                <wp:positionV relativeFrom="paragraph">
                  <wp:posOffset>46990</wp:posOffset>
                </wp:positionV>
                <wp:extent cx="3314700" cy="5286375"/>
                <wp:effectExtent l="0" t="0" r="0" b="9525"/>
                <wp:wrapSquare wrapText="bothSides"/>
                <wp:docPr id="13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5286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C522D7" w:rsidRPr="00265F1A" w:rsidRDefault="00C522D7" w:rsidP="00F73700">
                            <w:pPr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Dobre</w:t>
                            </w:r>
                            <w:r w:rsidRPr="00265F1A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 praktyk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265F1A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265F1A" w:rsidRDefault="00C522D7" w:rsidP="00816798">
                            <w:pPr>
                              <w:spacing w:before="0"/>
                              <w:jc w:val="left"/>
                              <w:rPr>
                                <w:i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Żeby ograniczyć potencjalne ryzyko podwójnego finansowania:</w:t>
                            </w:r>
                          </w:p>
                          <w:p w:rsidR="00C522D7" w:rsidRPr="00816798" w:rsidRDefault="00C522D7" w:rsidP="00945B0F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ind w:left="142" w:hanging="142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wymagać, żeby wszystkie faktury (lub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inne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dokumenty księgowe) były oznaczone pieczęcią z indywidualnym numerem projektu/księgowym. Dane te powinny być także umieszczone na dokumentach dotyczących płatności każdej z faktur.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wystarcza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wpisanie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tych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długopisem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C522D7" w:rsidRPr="00265F1A" w:rsidRDefault="00C522D7" w:rsidP="00945B0F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ind w:left="142" w:hanging="142"/>
                              <w:contextualSpacing w:val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dokument oryginalny jest bardziej wiarygodny niż kopia, ponieważ trudniej go zmienić i zapewnia on lepsze zabezpieczenie przed dwukrotnym zarejestrowaniem tej samej pozycji kosztów.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Należy w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ymagać od beneficjentów projektów, żeby przedkładali oryginalne faktury, co najmniej w trakcie weryfikacji na miejscu);</w:t>
                            </w:r>
                          </w:p>
                          <w:p w:rsidR="00C522D7" w:rsidRPr="00816798" w:rsidRDefault="00C522D7" w:rsidP="00945B0F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ind w:left="142" w:hanging="142"/>
                              <w:contextualSpacing w:val="0"/>
                              <w:rPr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wymagać, aby personel przygotow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ując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karty pracy co tydzień lub miesiąc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uwzględniał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wszystki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e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projekt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y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i działa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nia</w:t>
                            </w: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. Powinni oni rejestrować czas spędzony na wykonywaniu każdego działania w ramach projektu bez względu na czas zaplanowany na dany projekt.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Niepodpisane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niezatwierdzone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karty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pracy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są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wystarczające</w:t>
                            </w:r>
                            <w:proofErr w:type="spellEnd"/>
                            <w:r>
                              <w:rPr>
                                <w:color w:val="990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C522D7" w:rsidRPr="00265F1A" w:rsidRDefault="00C522D7" w:rsidP="00945B0F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wymagać, aby wszelkie płatności z tytułu kosztów personelu dokonywano przelewem bankowym;</w:t>
                            </w:r>
                          </w:p>
                          <w:p w:rsidR="00C522D7" w:rsidRPr="00265F1A" w:rsidRDefault="00C522D7" w:rsidP="00945B0F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ind w:left="142" w:hanging="142"/>
                              <w:contextualSpacing w:val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sz w:val="18"/>
                                <w:szCs w:val="18"/>
                                <w:lang w:val="pl-PL"/>
                              </w:rPr>
                              <w:t>wymagać od beneficjentów projektów otwarcia dedykowanych rachunków bankowych dla projektu, jeżeli jest to możliwe.</w:t>
                            </w:r>
                          </w:p>
                          <w:p w:rsidR="00C522D7" w:rsidRPr="00767038" w:rsidRDefault="00C522D7" w:rsidP="00945B0F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ind w:left="142" w:hanging="142"/>
                              <w:contextualSpacing w:val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67038">
                              <w:rPr>
                                <w:sz w:val="18"/>
                                <w:szCs w:val="18"/>
                                <w:lang w:val="pl-PL"/>
                              </w:rPr>
                              <w:t>wymagać od beneficjentów projektów deklaracji braku podwójnego finansowania,</w:t>
                            </w:r>
                          </w:p>
                          <w:p w:rsidR="00C522D7" w:rsidRPr="00767038" w:rsidRDefault="00C522D7" w:rsidP="0081679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hanging="142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42" type="#_x0000_t109" style="position:absolute;left:0;text-align:left;margin-left:193.5pt;margin-top:3.7pt;width:261pt;height:4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" fillcolor="#deeaf6 [660]" stroked="f">
                <v:path arrowok="t"/>
                <v:textbox>
                  <w:txbxContent>
                    <w:p w:rsidR="00C522D7" w:rsidRPr="00265F1A" w:rsidRDefault="00C522D7" w:rsidP="00F73700">
                      <w:pPr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Dobre</w:t>
                      </w:r>
                      <w:r w:rsidRPr="00265F1A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 praktyk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265F1A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  <w:p w:rsidR="00C522D7" w:rsidRPr="00265F1A" w:rsidRDefault="00C522D7" w:rsidP="00816798">
                      <w:pPr>
                        <w:spacing w:before="0"/>
                        <w:jc w:val="left"/>
                        <w:rPr>
                          <w:i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i/>
                          <w:i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Żeby ograniczyć potencjalne ryzyko podwójnego finansowania:</w:t>
                      </w:r>
                    </w:p>
                    <w:p w:rsidR="00C522D7" w:rsidRPr="00816798" w:rsidRDefault="00C522D7" w:rsidP="00945B0F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before="0"/>
                        <w:ind w:left="142" w:hanging="142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wymagać, żeby wszystkie faktury (lub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inne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dokumenty księgowe) były oznaczone pieczęcią z indywidualnym numerem projektu/księgowym. Dane te powinny być także umieszczone na dokumentach dotyczących płatności każdej z faktur.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Nie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wystarcza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wpisanie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tych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danych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długopisem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>!</w:t>
                      </w:r>
                    </w:p>
                    <w:p w:rsidR="00C522D7" w:rsidRPr="00265F1A" w:rsidRDefault="00C522D7" w:rsidP="00945B0F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before="0"/>
                        <w:ind w:left="142" w:hanging="142"/>
                        <w:contextualSpacing w:val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dokument oryginalny jest bardziej wiarygodny niż kopia, ponieważ trudniej go zmienić i zapewnia on lepsze zabezpieczenie przed dwukrotnym zarejestrowaniem tej samej pozycji kosztów.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Należy w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ymagać od beneficjentów projektów, żeby przedkładali oryginalne faktury, co najmniej w trakcie weryfikacji na miejscu);</w:t>
                      </w:r>
                    </w:p>
                    <w:p w:rsidR="00C522D7" w:rsidRPr="00816798" w:rsidRDefault="00C522D7" w:rsidP="00945B0F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before="0"/>
                        <w:ind w:left="142" w:hanging="142"/>
                        <w:contextualSpacing w:val="0"/>
                        <w:rPr>
                          <w:color w:val="990000"/>
                          <w:sz w:val="18"/>
                          <w:szCs w:val="18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wymagać, aby personel przygotow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ując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karty pracy co tydzień lub miesiąc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uwzględniał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wszystki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e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projekt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y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 i działa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nia</w:t>
                      </w: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 xml:space="preserve">. Powinni oni rejestrować czas spędzony na wykonywaniu każdego działania w ramach projektu bez względu na czas zaplanowany na dany projekt.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Niepodpisane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niezatwierdzone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karty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pracy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nie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są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90000"/>
                          <w:sz w:val="18"/>
                          <w:szCs w:val="18"/>
                        </w:rPr>
                        <w:t>wystarczające</w:t>
                      </w:r>
                      <w:proofErr w:type="spellEnd"/>
                      <w:r>
                        <w:rPr>
                          <w:color w:val="990000"/>
                          <w:sz w:val="18"/>
                          <w:szCs w:val="18"/>
                        </w:rPr>
                        <w:t>!</w:t>
                      </w:r>
                    </w:p>
                    <w:p w:rsidR="00C522D7" w:rsidRPr="00265F1A" w:rsidRDefault="00C522D7" w:rsidP="00945B0F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before="0"/>
                        <w:ind w:left="142" w:hanging="142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wymagać, aby wszelkie płatności z tytułu kosztów personelu dokonywano przelewem bankowym;</w:t>
                      </w:r>
                    </w:p>
                    <w:p w:rsidR="00C522D7" w:rsidRPr="00265F1A" w:rsidRDefault="00C522D7" w:rsidP="00945B0F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before="0"/>
                        <w:ind w:left="142" w:hanging="142"/>
                        <w:contextualSpacing w:val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sz w:val="18"/>
                          <w:szCs w:val="18"/>
                          <w:lang w:val="pl-PL"/>
                        </w:rPr>
                        <w:t>wymagać od beneficjentów projektów otwarcia dedykowanych rachunków bankowych dla projektu, jeżeli jest to możliwe.</w:t>
                      </w:r>
                    </w:p>
                    <w:p w:rsidR="00C522D7" w:rsidRPr="00767038" w:rsidRDefault="00C522D7" w:rsidP="00945B0F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before="0"/>
                        <w:ind w:left="142" w:hanging="142"/>
                        <w:contextualSpacing w:val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767038">
                        <w:rPr>
                          <w:sz w:val="18"/>
                          <w:szCs w:val="18"/>
                          <w:lang w:val="pl-PL"/>
                        </w:rPr>
                        <w:t>wymagać od beneficjentów projektów deklaracji braku podwójnego finansowania,</w:t>
                      </w:r>
                    </w:p>
                    <w:p w:rsidR="00C522D7" w:rsidRPr="00767038" w:rsidRDefault="00C522D7" w:rsidP="0081679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hanging="142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AF3" w:rsidRPr="00767038">
        <w:rPr>
          <w:lang w:val="pl-PL"/>
        </w:rPr>
        <w:t xml:space="preserve">zgodność z </w:t>
      </w:r>
      <w:r w:rsidR="005A62D3" w:rsidRPr="00767038">
        <w:rPr>
          <w:lang w:val="pl-PL"/>
        </w:rPr>
        <w:t>Regulacjami</w:t>
      </w:r>
      <w:r w:rsidR="00816798" w:rsidRPr="00767038">
        <w:rPr>
          <w:lang w:val="pl-PL"/>
        </w:rPr>
        <w:t xml:space="preserve">, </w:t>
      </w:r>
      <w:r w:rsidR="00945B0F" w:rsidRPr="00767038">
        <w:rPr>
          <w:lang w:val="pl-PL"/>
        </w:rPr>
        <w:t>Umową w sprawie programu</w:t>
      </w:r>
      <w:r w:rsidR="00805AF3" w:rsidRPr="00767038">
        <w:rPr>
          <w:lang w:val="pl-PL"/>
        </w:rPr>
        <w:t xml:space="preserve"> i odpowiednim prawodawstwem krajowym i UE</w:t>
      </w:r>
      <w:r w:rsidR="00816798" w:rsidRPr="00767038">
        <w:rPr>
          <w:vertAlign w:val="superscript"/>
          <w:lang w:val="pl-PL"/>
        </w:rPr>
        <w:footnoteReference w:id="16"/>
      </w:r>
      <w:r w:rsidR="00D368BB" w:rsidRPr="00767038">
        <w:rPr>
          <w:lang w:val="pl-PL"/>
        </w:rPr>
        <w:t xml:space="preserve"> </w:t>
      </w:r>
      <w:r w:rsidR="00816798" w:rsidRPr="00767038">
        <w:rPr>
          <w:lang w:val="pl-PL"/>
        </w:rPr>
        <w:t>(</w:t>
      </w:r>
      <w:r w:rsidR="00805AF3" w:rsidRPr="00767038">
        <w:rPr>
          <w:lang w:val="pl-PL"/>
        </w:rPr>
        <w:t>w tym</w:t>
      </w:r>
      <w:r w:rsidR="00816798" w:rsidRPr="00767038">
        <w:rPr>
          <w:lang w:val="pl-PL"/>
        </w:rPr>
        <w:t>,</w:t>
      </w:r>
      <w:r w:rsidR="00805AF3" w:rsidRPr="00767038">
        <w:rPr>
          <w:lang w:val="pl-PL"/>
        </w:rPr>
        <w:t xml:space="preserve"> lecz nie wyłącznie prawodawstwem dotyczącym ochrony środowiska naturalnego, zamówień publicznych i pomocy </w:t>
      </w:r>
      <w:r w:rsidR="00945B0F" w:rsidRPr="00767038">
        <w:rPr>
          <w:lang w:val="pl-PL"/>
        </w:rPr>
        <w:t>publicznej</w:t>
      </w:r>
      <w:r w:rsidR="00816798" w:rsidRPr="00767038">
        <w:rPr>
          <w:lang w:val="pl-PL"/>
        </w:rPr>
        <w:t>);</w:t>
      </w:r>
    </w:p>
    <w:p w:rsidR="00716E75" w:rsidRPr="00767038" w:rsidRDefault="00805AF3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adekwatność </w:t>
      </w:r>
      <w:r w:rsidR="00945B0F" w:rsidRPr="00767038">
        <w:rPr>
          <w:lang w:val="pl-PL"/>
        </w:rPr>
        <w:t xml:space="preserve">załączonych </w:t>
      </w:r>
      <w:r w:rsidRPr="00767038">
        <w:rPr>
          <w:lang w:val="pl-PL"/>
        </w:rPr>
        <w:t xml:space="preserve">dokumentów i istnienie </w:t>
      </w:r>
      <w:r w:rsidR="00945B0F" w:rsidRPr="00767038">
        <w:rPr>
          <w:lang w:val="pl-PL"/>
        </w:rPr>
        <w:t xml:space="preserve">właściwej </w:t>
      </w:r>
      <w:r w:rsidRPr="00767038">
        <w:rPr>
          <w:lang w:val="pl-PL"/>
        </w:rPr>
        <w:t>ścieżki audytu</w:t>
      </w:r>
      <w:r w:rsidR="00CF55A7" w:rsidRPr="00767038">
        <w:rPr>
          <w:lang w:val="pl-PL"/>
        </w:rPr>
        <w:t>;</w:t>
      </w:r>
    </w:p>
    <w:p w:rsidR="00716E75" w:rsidRPr="00767038" w:rsidRDefault="00805AF3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zgodność poniesionych wydatków ze wszystkimi zasadami kwalifikowalności</w:t>
      </w:r>
      <w:r w:rsidR="003146B8" w:rsidRPr="00767038">
        <w:rPr>
          <w:lang w:val="pl-PL"/>
        </w:rPr>
        <w:t xml:space="preserve">; </w:t>
      </w:r>
    </w:p>
    <w:p w:rsidR="00B37EF1" w:rsidRPr="00767038" w:rsidRDefault="000A46F3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brak podwójnego finansowania (jeżeli ten sam </w:t>
      </w:r>
      <w:r w:rsidR="00AC25C8" w:rsidRPr="00767038">
        <w:rPr>
          <w:lang w:val="pl-PL"/>
        </w:rPr>
        <w:t>beneficjent</w:t>
      </w:r>
      <w:r w:rsidRPr="00767038">
        <w:rPr>
          <w:lang w:val="pl-PL"/>
        </w:rPr>
        <w:t xml:space="preserve"> realizuje więcej niż jeden projekt w jednym czasie lub uzyskuje środki finansowe z różnych form wsparcia lub od innych podmiotów niż</w:t>
      </w:r>
      <w:r w:rsidR="007F70B3">
        <w:rPr>
          <w:lang w:val="pl-PL"/>
        </w:rPr>
        <w:t xml:space="preserve"> D</w:t>
      </w:r>
      <w:r w:rsidR="00614213">
        <w:rPr>
          <w:lang w:val="pl-PL"/>
        </w:rPr>
        <w:t>ar</w:t>
      </w:r>
      <w:r w:rsidR="007F70B3">
        <w:rPr>
          <w:lang w:val="pl-PL"/>
        </w:rPr>
        <w:t>czyńcy</w:t>
      </w:r>
      <w:r w:rsidR="003146B8" w:rsidRPr="00767038">
        <w:rPr>
          <w:lang w:val="pl-PL"/>
        </w:rPr>
        <w:t xml:space="preserve">, </w:t>
      </w:r>
      <w:r w:rsidR="00945B0F" w:rsidRPr="00767038">
        <w:rPr>
          <w:lang w:val="pl-PL"/>
        </w:rPr>
        <w:t xml:space="preserve">powinien </w:t>
      </w:r>
      <w:r w:rsidRPr="00767038">
        <w:rPr>
          <w:lang w:val="pl-PL"/>
        </w:rPr>
        <w:t>istnie</w:t>
      </w:r>
      <w:r w:rsidR="00945B0F" w:rsidRPr="00767038">
        <w:rPr>
          <w:lang w:val="pl-PL"/>
        </w:rPr>
        <w:t>ć</w:t>
      </w:r>
      <w:r w:rsidRPr="00767038">
        <w:rPr>
          <w:lang w:val="pl-PL"/>
        </w:rPr>
        <w:t xml:space="preserve"> mechanizm weryfikacji </w:t>
      </w:r>
      <w:r w:rsidR="00945B0F" w:rsidRPr="00767038">
        <w:rPr>
          <w:lang w:val="pl-PL"/>
        </w:rPr>
        <w:t xml:space="preserve">wydatków pod kątem </w:t>
      </w:r>
      <w:r w:rsidRPr="00767038">
        <w:rPr>
          <w:lang w:val="pl-PL"/>
        </w:rPr>
        <w:t xml:space="preserve">możliwego podwójnego </w:t>
      </w:r>
      <w:r w:rsidR="00945B0F" w:rsidRPr="00767038">
        <w:rPr>
          <w:lang w:val="pl-PL"/>
        </w:rPr>
        <w:t xml:space="preserve">ich </w:t>
      </w:r>
      <w:r w:rsidRPr="00767038">
        <w:rPr>
          <w:lang w:val="pl-PL"/>
        </w:rPr>
        <w:t>finansowania</w:t>
      </w:r>
      <w:r w:rsidR="003146B8" w:rsidRPr="00767038">
        <w:rPr>
          <w:lang w:val="pl-PL"/>
        </w:rPr>
        <w:t>);</w:t>
      </w:r>
    </w:p>
    <w:p w:rsidR="00716E75" w:rsidRPr="00767038" w:rsidRDefault="000A46F3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postęp </w:t>
      </w:r>
      <w:r w:rsidR="00945B0F" w:rsidRPr="00767038">
        <w:rPr>
          <w:lang w:val="pl-PL"/>
        </w:rPr>
        <w:t xml:space="preserve">rzeczowy </w:t>
      </w:r>
      <w:r w:rsidRPr="00767038">
        <w:rPr>
          <w:lang w:val="pl-PL"/>
        </w:rPr>
        <w:t>w realizacji projektu</w:t>
      </w:r>
      <w:r w:rsidR="003146B8" w:rsidRPr="00767038">
        <w:rPr>
          <w:lang w:val="pl-PL"/>
        </w:rPr>
        <w:t>;</w:t>
      </w:r>
    </w:p>
    <w:p w:rsidR="00716E75" w:rsidRPr="00767038" w:rsidRDefault="000A46F3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lastRenderedPageBreak/>
        <w:t>dostarczenie produktu lub usługi</w:t>
      </w:r>
      <w:r w:rsidR="003146B8" w:rsidRPr="00767038">
        <w:rPr>
          <w:lang w:val="pl-PL"/>
        </w:rPr>
        <w:t>;</w:t>
      </w:r>
    </w:p>
    <w:p w:rsidR="00B37EF1" w:rsidRPr="00767038" w:rsidRDefault="000A46F3" w:rsidP="00945B0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przestrzeganie zasad promocji i widoczności</w:t>
      </w:r>
      <w:r w:rsidR="00B37EF1" w:rsidRPr="00767038">
        <w:rPr>
          <w:lang w:val="pl-PL"/>
        </w:rPr>
        <w:t xml:space="preserve"> (</w:t>
      </w:r>
      <w:r w:rsidRPr="00767038">
        <w:rPr>
          <w:lang w:val="pl-PL"/>
        </w:rPr>
        <w:t>fotografie na tablicach</w:t>
      </w:r>
      <w:r w:rsidR="00B37EF1" w:rsidRPr="00767038">
        <w:rPr>
          <w:lang w:val="pl-PL"/>
        </w:rPr>
        <w:t xml:space="preserve">, </w:t>
      </w:r>
      <w:r w:rsidRPr="00767038">
        <w:rPr>
          <w:lang w:val="pl-PL"/>
        </w:rPr>
        <w:t>kopie ulotek promocyjnych, materiały szkoleniowe i dyplomy można wykorzystać jako dowód weryfikacji zgodności z wymaganiami promocji i widoczności</w:t>
      </w:r>
      <w:r w:rsidR="00B37EF1" w:rsidRPr="00767038">
        <w:rPr>
          <w:lang w:val="pl-PL"/>
        </w:rPr>
        <w:t>).</w:t>
      </w:r>
    </w:p>
    <w:p w:rsidR="00945B0F" w:rsidRPr="00767038" w:rsidRDefault="00A9796C" w:rsidP="0043330F">
      <w:pPr>
        <w:autoSpaceDE w:val="0"/>
        <w:autoSpaceDN w:val="0"/>
        <w:adjustRightInd w:val="0"/>
        <w:rPr>
          <w:rFonts w:cs="Times New Roman"/>
          <w:b/>
          <w:lang w:val="pl-PL"/>
        </w:rPr>
      </w:pPr>
      <w:r w:rsidRPr="00767038">
        <w:rPr>
          <w:rFonts w:cs="Times New Roman"/>
          <w:b/>
          <w:bCs/>
          <w:color w:val="000000"/>
          <w:lang w:val="pl-PL"/>
        </w:rPr>
        <w:t>Procedury</w:t>
      </w:r>
      <w:r w:rsidR="0043330F" w:rsidRPr="00767038">
        <w:rPr>
          <w:rFonts w:cs="Times New Roman"/>
          <w:b/>
          <w:bCs/>
          <w:color w:val="000000"/>
          <w:lang w:val="pl-PL"/>
        </w:rPr>
        <w:t>:</w:t>
      </w:r>
      <w:r w:rsidRPr="00767038">
        <w:rPr>
          <w:rFonts w:cs="Times New Roman"/>
          <w:color w:val="000000"/>
          <w:lang w:val="pl-PL"/>
        </w:rPr>
        <w:t xml:space="preserve"> standardy i procedury, które </w:t>
      </w:r>
      <w:r w:rsidR="00315981" w:rsidRPr="00767038">
        <w:rPr>
          <w:rFonts w:cs="Times New Roman"/>
          <w:color w:val="000000"/>
          <w:lang w:val="pl-PL"/>
        </w:rPr>
        <w:t>Operator Programu</w:t>
      </w:r>
      <w:r w:rsidRPr="00767038">
        <w:rPr>
          <w:rFonts w:cs="Times New Roman"/>
          <w:color w:val="000000"/>
          <w:lang w:val="pl-PL"/>
        </w:rPr>
        <w:t xml:space="preserve"> stosuje w celu przeprowadzania weryfikacji, </w:t>
      </w:r>
      <w:r w:rsidR="00945B0F" w:rsidRPr="00767038">
        <w:rPr>
          <w:rFonts w:cs="Times New Roman"/>
          <w:color w:val="000000"/>
          <w:lang w:val="pl-PL"/>
        </w:rPr>
        <w:t>powinny zostać</w:t>
      </w:r>
      <w:r w:rsidRPr="00767038">
        <w:rPr>
          <w:rFonts w:cs="Times New Roman"/>
          <w:color w:val="000000"/>
          <w:lang w:val="pl-PL"/>
        </w:rPr>
        <w:t xml:space="preserve"> określ</w:t>
      </w:r>
      <w:r w:rsidR="00945B0F" w:rsidRPr="00767038">
        <w:rPr>
          <w:rFonts w:cs="Times New Roman"/>
          <w:color w:val="000000"/>
          <w:lang w:val="pl-PL"/>
        </w:rPr>
        <w:t>one</w:t>
      </w:r>
      <w:r w:rsidRPr="00767038">
        <w:rPr>
          <w:rFonts w:cs="Times New Roman"/>
          <w:color w:val="000000"/>
          <w:lang w:val="pl-PL"/>
        </w:rPr>
        <w:t xml:space="preserve"> w podręcznikach procedur, </w:t>
      </w:r>
      <w:r w:rsidR="00945B0F" w:rsidRPr="00767038">
        <w:rPr>
          <w:rFonts w:cs="Times New Roman"/>
          <w:color w:val="000000"/>
          <w:lang w:val="pl-PL"/>
        </w:rPr>
        <w:t xml:space="preserve">ze </w:t>
      </w:r>
      <w:r w:rsidR="00A35E94" w:rsidRPr="00767038">
        <w:rPr>
          <w:rFonts w:cs="Times New Roman"/>
          <w:color w:val="000000"/>
          <w:lang w:val="pl-PL"/>
        </w:rPr>
        <w:t>wskazaniem, które</w:t>
      </w:r>
      <w:r w:rsidRPr="00767038">
        <w:rPr>
          <w:rFonts w:cs="Times New Roman"/>
          <w:color w:val="000000"/>
          <w:lang w:val="pl-PL"/>
        </w:rPr>
        <w:t xml:space="preserve"> punkty podlegają odpowiednio weryfikacjom administracyjnym i weryfikacjom na miejscu </w:t>
      </w:r>
      <w:r w:rsidR="00945B0F" w:rsidRPr="00767038">
        <w:rPr>
          <w:rFonts w:cs="Times New Roman"/>
          <w:color w:val="000000"/>
          <w:lang w:val="pl-PL"/>
        </w:rPr>
        <w:t>wraz</w:t>
      </w:r>
      <w:r w:rsidRPr="00767038">
        <w:rPr>
          <w:rFonts w:cs="Times New Roman"/>
          <w:color w:val="000000"/>
          <w:lang w:val="pl-PL"/>
        </w:rPr>
        <w:t xml:space="preserve"> </w:t>
      </w:r>
      <w:r w:rsidR="00945B0F" w:rsidRPr="00767038">
        <w:rPr>
          <w:rFonts w:cs="Times New Roman"/>
          <w:color w:val="000000"/>
          <w:lang w:val="pl-PL"/>
        </w:rPr>
        <w:t xml:space="preserve">z </w:t>
      </w:r>
      <w:r w:rsidRPr="00767038">
        <w:rPr>
          <w:rFonts w:cs="Times New Roman"/>
          <w:color w:val="000000"/>
          <w:lang w:val="pl-PL"/>
        </w:rPr>
        <w:t>odn</w:t>
      </w:r>
      <w:r w:rsidR="00945B0F" w:rsidRPr="00767038">
        <w:rPr>
          <w:rFonts w:cs="Times New Roman"/>
          <w:color w:val="000000"/>
          <w:lang w:val="pl-PL"/>
        </w:rPr>
        <w:t>iesieniem</w:t>
      </w:r>
      <w:r w:rsidRPr="00767038">
        <w:rPr>
          <w:rFonts w:cs="Times New Roman"/>
          <w:color w:val="000000"/>
          <w:lang w:val="pl-PL"/>
        </w:rPr>
        <w:t xml:space="preserve"> się do list </w:t>
      </w:r>
      <w:r w:rsidR="00945B0F" w:rsidRPr="00767038">
        <w:rPr>
          <w:rFonts w:cs="Times New Roman"/>
          <w:color w:val="000000"/>
          <w:lang w:val="pl-PL"/>
        </w:rPr>
        <w:t>sprawdzających</w:t>
      </w:r>
      <w:r w:rsidRPr="00767038">
        <w:rPr>
          <w:rFonts w:cs="Times New Roman"/>
          <w:color w:val="000000"/>
          <w:lang w:val="pl-PL"/>
        </w:rPr>
        <w:t xml:space="preserve"> wykorzystywanych do różnego rodzaju kontroli</w:t>
      </w:r>
      <w:r w:rsidR="0043330F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Podręczniki powinny także zawierać szczegółowy opis i uzasadnienie metodologii wyboru próby, którą należy stosować</w:t>
      </w:r>
      <w:r w:rsidR="0043330F" w:rsidRPr="00767038">
        <w:rPr>
          <w:rFonts w:cs="Times New Roman"/>
          <w:lang w:val="pl-PL"/>
        </w:rPr>
        <w:t>.</w:t>
      </w:r>
    </w:p>
    <w:p w:rsidR="0028414F" w:rsidRPr="00767038" w:rsidRDefault="00A9796C" w:rsidP="0028414F">
      <w:pPr>
        <w:autoSpaceDE w:val="0"/>
        <w:autoSpaceDN w:val="0"/>
        <w:adjustRightInd w:val="0"/>
        <w:rPr>
          <w:rFonts w:cs="Times New Roman"/>
          <w:b/>
          <w:bCs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Jeżeli weryfikacje administracyjne i weryfikacje na miejscu przeprowadzają różne osoby, procedury powinny zapewniać, że obie uzyskają odpowiednie i terminowe informacje na temat wyników przeprowadzanych weryfikacji</w:t>
      </w:r>
      <w:r w:rsidR="0028414F" w:rsidRPr="00767038">
        <w:rPr>
          <w:rFonts w:cs="Times New Roman"/>
          <w:color w:val="000000"/>
          <w:lang w:val="pl-PL"/>
        </w:rPr>
        <w:t xml:space="preserve">. </w:t>
      </w:r>
    </w:p>
    <w:p w:rsidR="0043330F" w:rsidRPr="00767038" w:rsidRDefault="00A9796C" w:rsidP="0043330F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b/>
          <w:bCs/>
          <w:color w:val="000000"/>
          <w:lang w:val="pl-PL"/>
        </w:rPr>
        <w:t>Rejestry</w:t>
      </w:r>
      <w:r w:rsidR="0043330F" w:rsidRPr="00767038">
        <w:rPr>
          <w:rFonts w:cs="Times New Roman"/>
          <w:b/>
          <w:bCs/>
          <w:color w:val="000000"/>
          <w:lang w:val="pl-PL"/>
        </w:rPr>
        <w:t>:</w:t>
      </w:r>
      <w:r w:rsidR="00D368BB" w:rsidRPr="00767038">
        <w:rPr>
          <w:rFonts w:cs="Times New Roman"/>
          <w:b/>
          <w:bCs/>
          <w:color w:val="000000"/>
          <w:lang w:val="pl-PL"/>
        </w:rPr>
        <w:t xml:space="preserve"> </w:t>
      </w:r>
      <w:r w:rsidR="00315981" w:rsidRPr="00767038">
        <w:rPr>
          <w:rFonts w:cs="Times New Roman"/>
          <w:color w:val="000000"/>
          <w:lang w:val="pl-PL"/>
        </w:rPr>
        <w:t>Operator Programu</w:t>
      </w:r>
      <w:r w:rsidRPr="00767038">
        <w:rPr>
          <w:rFonts w:cs="Times New Roman"/>
          <w:color w:val="000000"/>
          <w:lang w:val="pl-PL"/>
        </w:rPr>
        <w:t xml:space="preserve"> dowiedzie</w:t>
      </w:r>
      <w:r w:rsidR="0043330F" w:rsidRPr="00767038">
        <w:rPr>
          <w:rFonts w:cs="Times New Roman"/>
          <w:color w:val="000000"/>
          <w:lang w:val="pl-PL"/>
        </w:rPr>
        <w:t xml:space="preserve">, </w:t>
      </w:r>
      <w:r w:rsidRPr="00767038">
        <w:rPr>
          <w:rFonts w:cs="Times New Roman"/>
          <w:color w:val="000000"/>
          <w:lang w:val="pl-PL"/>
        </w:rPr>
        <w:t>przez przygotowanie adekwatnej dokumentacji przeprowadzanych weryfikacji, że ogólna intensywność weryfikacji, zarówno administracyjnych, jak i na miejscu, jest wystarczająca w celu uzyskania racjonalnej pewności co do legalności i prawidłowości wydatków współfinansowanych w ramach programu</w:t>
      </w:r>
      <w:r w:rsidR="0043330F" w:rsidRPr="00767038">
        <w:rPr>
          <w:rFonts w:cs="Times New Roman"/>
          <w:color w:val="000000"/>
          <w:lang w:val="pl-PL"/>
        </w:rPr>
        <w:t>.</w:t>
      </w:r>
    </w:p>
    <w:p w:rsidR="00976E75" w:rsidRPr="00767038" w:rsidRDefault="00A9796C" w:rsidP="00976E75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Dokumentuje się wszystkie weryfikacje (np. w formie list </w:t>
      </w:r>
      <w:r w:rsidR="003F5025" w:rsidRPr="00767038">
        <w:rPr>
          <w:rFonts w:cs="Times New Roman"/>
          <w:color w:val="000000"/>
          <w:lang w:val="pl-PL"/>
        </w:rPr>
        <w:t>sprawdzających</w:t>
      </w:r>
      <w:r w:rsidR="00976E75" w:rsidRPr="00767038">
        <w:rPr>
          <w:rFonts w:cs="Times New Roman"/>
          <w:lang w:val="pl-PL"/>
        </w:rPr>
        <w:t>).</w:t>
      </w:r>
      <w:r w:rsidRPr="00767038">
        <w:rPr>
          <w:rFonts w:cs="Times New Roman"/>
          <w:lang w:val="pl-PL"/>
        </w:rPr>
        <w:t xml:space="preserve"> Dokument</w:t>
      </w:r>
      <w:r w:rsidR="003F5025" w:rsidRPr="00767038">
        <w:rPr>
          <w:rFonts w:cs="Times New Roman"/>
          <w:lang w:val="pl-PL"/>
        </w:rPr>
        <w:t>acja</w:t>
      </w:r>
      <w:r w:rsidR="008C2068">
        <w:rPr>
          <w:rFonts w:cs="Times New Roman"/>
          <w:lang w:val="pl-PL"/>
        </w:rPr>
        <w:t xml:space="preserve"> z </w:t>
      </w:r>
      <w:r w:rsidR="003F5025" w:rsidRPr="00767038">
        <w:rPr>
          <w:rFonts w:cs="Times New Roman"/>
          <w:lang w:val="pl-PL"/>
        </w:rPr>
        <w:t xml:space="preserve">przeprowadzonej </w:t>
      </w:r>
      <w:r w:rsidRPr="00767038">
        <w:rPr>
          <w:rFonts w:cs="Times New Roman"/>
          <w:lang w:val="pl-PL"/>
        </w:rPr>
        <w:t xml:space="preserve">weryfikacji </w:t>
      </w:r>
      <w:r w:rsidR="00164DC3" w:rsidRPr="00767038">
        <w:rPr>
          <w:rFonts w:cs="Times New Roman"/>
          <w:lang w:val="pl-PL"/>
        </w:rPr>
        <w:t>powinn</w:t>
      </w:r>
      <w:r w:rsidR="00264FA3">
        <w:rPr>
          <w:rFonts w:cs="Times New Roman"/>
          <w:lang w:val="pl-PL"/>
        </w:rPr>
        <w:t>a</w:t>
      </w:r>
      <w:r w:rsidR="00D368BB" w:rsidRPr="00767038">
        <w:rPr>
          <w:rFonts w:cs="Times New Roman"/>
          <w:lang w:val="pl-PL"/>
        </w:rPr>
        <w:t xml:space="preserve"> zawierać </w:t>
      </w:r>
      <w:r w:rsidRPr="00767038">
        <w:rPr>
          <w:rFonts w:cs="Times New Roman"/>
          <w:lang w:val="pl-PL"/>
        </w:rPr>
        <w:t>co najmniej</w:t>
      </w:r>
      <w:r w:rsidR="00976E75" w:rsidRPr="00767038">
        <w:rPr>
          <w:rFonts w:cs="Times New Roman"/>
          <w:color w:val="000000"/>
          <w:lang w:val="pl-PL"/>
        </w:rPr>
        <w:t>:</w:t>
      </w:r>
    </w:p>
    <w:p w:rsidR="00976E75" w:rsidRPr="00767038" w:rsidRDefault="00FB2938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2E05E" wp14:editId="6F3617B7">
                <wp:simplePos x="0" y="0"/>
                <wp:positionH relativeFrom="margin">
                  <wp:posOffset>2266950</wp:posOffset>
                </wp:positionH>
                <wp:positionV relativeFrom="paragraph">
                  <wp:posOffset>75565</wp:posOffset>
                </wp:positionV>
                <wp:extent cx="3581400" cy="5502910"/>
                <wp:effectExtent l="0" t="0" r="0" b="2540"/>
                <wp:wrapSquare wrapText="bothSides"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50291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C522D7" w:rsidRPr="00164DC3" w:rsidRDefault="00C522D7" w:rsidP="004379FE">
                            <w:pPr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Dobre</w:t>
                            </w:r>
                            <w:r w:rsidRPr="00164DC3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 praktyk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164DC3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164DC3" w:rsidRDefault="00C522D7" w:rsidP="004379FE">
                            <w:pPr>
                              <w:spacing w:before="0"/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64DC3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Listy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sprawdzające</w:t>
                            </w:r>
                          </w:p>
                          <w:p w:rsidR="00C522D7" w:rsidRPr="00164DC3" w:rsidRDefault="00C522D7" w:rsidP="00362FC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Listy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sprawdzające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, które służą jako przewodnik do przeprowadzania weryfikacji, są często wykorzystywane do rejestrowania wszystkich wykonanych działań wraz z ich wynikami. Żeby były użyteczne, muszą być wystarczająco szczegółowe. Rejestrując na przykład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proces 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weryfikacj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kwalifikowalności wydatków, nie jest wystarczające, żeby lista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sprawdzająca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zawierała jedno pole, w którym potwierdza się weryfikację kwalifikowalności wydatków. Wręcz przeciwnie,  wszystki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e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elementy procesu weryfikacji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kwalifikowalności powinn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y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być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odzwierciedlone 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i zawierać odniesienia do odpowiednich podstaw prawnych (np. wydatki zapłacone w okresie kwalifikowalności, zgodność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załączonych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dokumentów i wyciągów bankowych, odpowiednia i racjonalna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alokacja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kosztów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ogólnych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). W przypadku zamówień publicznych zaleca się posiadanie szczegółowych list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sprawdzających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obejmujących najważniejsze ryzyka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pojawiające się </w:t>
                            </w:r>
                            <w:r w:rsidRPr="00164DC3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w procedurze zamówień. Na potrzeby prostszych weryfikacji, np. sprawdzenia sumy transakcji, wykonaną pracę można udokumentować prostym oznaczeniem całkowitej liczby. </w:t>
                            </w:r>
                          </w:p>
                          <w:p w:rsidR="00C522D7" w:rsidRPr="00265F1A" w:rsidRDefault="00C522D7" w:rsidP="00362FCB">
                            <w:pPr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Żeby lista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sprawdzająca spełniała swój cel</w:t>
                            </w: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powinna zawierać pytania dotyczące:</w:t>
                            </w:r>
                          </w:p>
                          <w:p w:rsidR="00C522D7" w:rsidRPr="00265F1A" w:rsidRDefault="00C522D7" w:rsidP="003C511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wszystkich ogólnych kryteriów kwalifikowalności, o których mowa w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Regulacjach</w:t>
                            </w: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, i szczególnych kryteriów dla każdego rodzaju wydatków, w tym kosztów pośrednich,</w:t>
                            </w:r>
                          </w:p>
                          <w:p w:rsidR="00C522D7" w:rsidRPr="00265F1A" w:rsidRDefault="00C522D7" w:rsidP="003C511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identyfikacji wydatków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nie</w:t>
                            </w: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kwalifikowalnych, które zostały zdefiniowane w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Regulacjach</w:t>
                            </w:r>
                            <w:r w:rsidRPr="00265F1A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43" type="#_x0000_t109" style="position:absolute;left:0;text-align:left;margin-left:178.5pt;margin-top:5.95pt;width:282pt;height:433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" fillcolor="#deeaf6 [660]" stroked="f">
                <v:path arrowok="t"/>
                <v:textbox>
                  <w:txbxContent>
                    <w:p w:rsidR="00C522D7" w:rsidRPr="00164DC3" w:rsidRDefault="00C522D7" w:rsidP="004379FE">
                      <w:pPr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Dobre</w:t>
                      </w:r>
                      <w:r w:rsidRPr="00164DC3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 praktyk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164DC3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  <w:p w:rsidR="00C522D7" w:rsidRPr="00164DC3" w:rsidRDefault="00C522D7" w:rsidP="004379FE">
                      <w:pPr>
                        <w:spacing w:before="0"/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 w:rsidRPr="00164DC3">
                        <w:rPr>
                          <w:i/>
                          <w:i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Listy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sprawdzające</w:t>
                      </w:r>
                    </w:p>
                    <w:p w:rsidR="00C522D7" w:rsidRPr="00164DC3" w:rsidRDefault="00C522D7" w:rsidP="00362FC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Listy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sprawdzające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, które służą jako przewodnik do przeprowadzania weryfikacji, są często wykorzystywane do rejestrowania wszystkich wykonanych działań wraz z ich wynikami. Żeby były użyteczne, muszą być wystarczająco szczegółowe. Rejestrując na przykład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proces 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weryfikacj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kwalifikowalności wydatków, nie jest wystarczające, żeby lista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sprawdzająca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zawierała jedno pole, w którym potwierdza się weryfikację kwalifikowalności wydatków. Wręcz przeciwnie,  wszystki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e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elementy procesu weryfikacji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kwalifikowalności powinn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y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być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odzwierciedlone 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i zawierać odniesienia do odpowiednich podstaw prawnych (np. wydatki zapłacone w okresie kwalifikowalności, zgodność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załączonych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dokumentów i wyciągów bankowych, odpowiednia i racjonalna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alokacja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kosztów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ogólnych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). W przypadku zamówień publicznych zaleca się posiadanie szczegółowych list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sprawdzających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obejmujących najważniejsze ryzyka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pojawiające się </w:t>
                      </w:r>
                      <w:r w:rsidRPr="00164DC3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w procedurze zamówień. Na potrzeby prostszych weryfikacji, np. sprawdzenia sumy transakcji, wykonaną pracę można udokumentować prostym oznaczeniem całkowitej liczby. </w:t>
                      </w:r>
                    </w:p>
                    <w:p w:rsidR="00C522D7" w:rsidRPr="00265F1A" w:rsidRDefault="00C522D7" w:rsidP="00362FCB">
                      <w:pPr>
                        <w:spacing w:line="276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Żeby lista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sprawdzająca spełniała swój cel</w:t>
                      </w: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powinna zawierać pytania dotyczące:</w:t>
                      </w:r>
                    </w:p>
                    <w:p w:rsidR="00C522D7" w:rsidRPr="00265F1A" w:rsidRDefault="00C522D7" w:rsidP="003C511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wszystkich ogólnych kryteriów kwalifikowalności, o których mowa w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Regulacjach</w:t>
                      </w: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, i szczególnych kryteriów dla każdego rodzaju wydatków, w tym kosztów pośrednich,</w:t>
                      </w:r>
                    </w:p>
                    <w:p w:rsidR="00C522D7" w:rsidRPr="00265F1A" w:rsidRDefault="00C522D7" w:rsidP="003C511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identyfikacji wydatków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nie</w:t>
                      </w: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kwalifikowalnych, które zostały zdefiniowane w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Regulacjach</w:t>
                      </w:r>
                      <w:r w:rsidRPr="00265F1A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96C" w:rsidRPr="00767038">
        <w:rPr>
          <w:lang w:val="pl-PL"/>
        </w:rPr>
        <w:t>zwięzłe podsumowanie wykonanej pracy</w:t>
      </w:r>
      <w:r w:rsidR="004379FE" w:rsidRPr="00767038">
        <w:rPr>
          <w:lang w:val="pl-PL"/>
        </w:rPr>
        <w:t>;</w:t>
      </w:r>
    </w:p>
    <w:p w:rsidR="00976E75" w:rsidRPr="00767038" w:rsidRDefault="00A9796C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szczegółowe informacje na temat zweryfikowanych raportów finansowych lub pozycji wydatków</w:t>
      </w:r>
      <w:r w:rsidR="00976E75" w:rsidRPr="00767038">
        <w:rPr>
          <w:lang w:val="pl-PL"/>
        </w:rPr>
        <w:t>;</w:t>
      </w:r>
    </w:p>
    <w:p w:rsidR="00976E75" w:rsidRPr="00767038" w:rsidRDefault="00A9796C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wartość sprawdzonych wydatków, tj. kwotę wydatków sprawdzoną z dokumentacją źródłową</w:t>
      </w:r>
      <w:r w:rsidR="00976E75" w:rsidRPr="00767038">
        <w:rPr>
          <w:lang w:val="pl-PL"/>
        </w:rPr>
        <w:t>;</w:t>
      </w:r>
    </w:p>
    <w:p w:rsidR="00976E75" w:rsidRPr="00767038" w:rsidRDefault="00A9796C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wyniki weryfikacji, w tym ogólny poziom i częstotliwość wykrywanych błędów</w:t>
      </w:r>
      <w:r w:rsidR="00976E75" w:rsidRPr="00767038">
        <w:rPr>
          <w:lang w:val="pl-PL"/>
        </w:rPr>
        <w:t>;</w:t>
      </w:r>
    </w:p>
    <w:p w:rsidR="00976E75" w:rsidRPr="00767038" w:rsidRDefault="00CA20E0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opis zidentyfikowanych nieprawidłowości wraz z jednoznacznym określeniem naruszonych zasad i podjętych środków korygujących </w:t>
      </w:r>
      <w:r w:rsidR="00976E75" w:rsidRPr="00767038">
        <w:rPr>
          <w:lang w:val="pl-PL"/>
        </w:rPr>
        <w:t>(</w:t>
      </w:r>
      <w:r w:rsidRPr="00767038">
        <w:rPr>
          <w:lang w:val="pl-PL"/>
        </w:rPr>
        <w:t>działania korygujące mogą obejmować przesłanie raportu z nieprawidłowości i procedurę odzyskania środków finansowych</w:t>
      </w:r>
      <w:r w:rsidR="00976E75" w:rsidRPr="00767038">
        <w:rPr>
          <w:lang w:val="pl-PL"/>
        </w:rPr>
        <w:t>);</w:t>
      </w:r>
    </w:p>
    <w:p w:rsidR="00976E75" w:rsidRPr="00767038" w:rsidRDefault="00CA20E0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imię i nazwisko oraz stanowisko osoby przeprowadzającej weryfikację</w:t>
      </w:r>
      <w:r w:rsidR="00976E75" w:rsidRPr="00767038">
        <w:rPr>
          <w:lang w:val="pl-PL"/>
        </w:rPr>
        <w:t>;</w:t>
      </w:r>
    </w:p>
    <w:p w:rsidR="00976E75" w:rsidRPr="00767038" w:rsidRDefault="00CA20E0" w:rsidP="003F5025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lastRenderedPageBreak/>
        <w:t>datę i podpis</w:t>
      </w:r>
      <w:r w:rsidR="00976E75" w:rsidRPr="00767038">
        <w:rPr>
          <w:lang w:val="pl-PL"/>
        </w:rPr>
        <w:t>.</w:t>
      </w:r>
    </w:p>
    <w:p w:rsidR="000B7E82" w:rsidRPr="00767038" w:rsidRDefault="004A2011" w:rsidP="00C27B08">
      <w:pPr>
        <w:pStyle w:val="Nagwek3"/>
        <w:rPr>
          <w:lang w:val="pl-PL"/>
        </w:rPr>
      </w:pPr>
      <w:r w:rsidRPr="00767038">
        <w:rPr>
          <w:lang w:val="pl-PL"/>
        </w:rPr>
        <w:t>Weryfikacje</w:t>
      </w:r>
      <w:r w:rsidR="000724D6" w:rsidRPr="00767038">
        <w:rPr>
          <w:lang w:val="pl-PL"/>
        </w:rPr>
        <w:t>/kontrole</w:t>
      </w:r>
      <w:r w:rsidRPr="00767038">
        <w:rPr>
          <w:lang w:val="pl-PL"/>
        </w:rPr>
        <w:t xml:space="preserve"> administracyjne poniesionych wydatków zgł</w:t>
      </w:r>
      <w:r w:rsidR="000724D6" w:rsidRPr="00767038">
        <w:rPr>
          <w:lang w:val="pl-PL"/>
        </w:rPr>
        <w:t>o</w:t>
      </w:r>
      <w:r w:rsidRPr="00767038">
        <w:rPr>
          <w:lang w:val="pl-PL"/>
        </w:rPr>
        <w:t>sz</w:t>
      </w:r>
      <w:r w:rsidR="000724D6" w:rsidRPr="00767038">
        <w:rPr>
          <w:lang w:val="pl-PL"/>
        </w:rPr>
        <w:t>o</w:t>
      </w:r>
      <w:r w:rsidRPr="00767038">
        <w:rPr>
          <w:lang w:val="pl-PL"/>
        </w:rPr>
        <w:t xml:space="preserve">nych przez </w:t>
      </w:r>
      <w:r w:rsidR="00AC25C8" w:rsidRPr="00767038">
        <w:rPr>
          <w:lang w:val="pl-PL"/>
        </w:rPr>
        <w:t>beneficjent</w:t>
      </w:r>
      <w:r w:rsidR="000724D6" w:rsidRPr="00767038">
        <w:rPr>
          <w:lang w:val="pl-PL"/>
        </w:rPr>
        <w:t>ów</w:t>
      </w:r>
      <w:r w:rsidRPr="00767038">
        <w:rPr>
          <w:lang w:val="pl-PL"/>
        </w:rPr>
        <w:t xml:space="preserve"> </w:t>
      </w:r>
      <w:r w:rsidR="00250384" w:rsidRPr="00767038">
        <w:rPr>
          <w:lang w:val="pl-PL"/>
        </w:rPr>
        <w:t>(</w:t>
      </w:r>
      <w:r w:rsidRPr="00767038">
        <w:rPr>
          <w:lang w:val="pl-PL"/>
        </w:rPr>
        <w:t>a</w:t>
      </w:r>
      <w:r w:rsidR="00250384" w:rsidRPr="00767038">
        <w:rPr>
          <w:lang w:val="pl-PL"/>
        </w:rPr>
        <w:t xml:space="preserve">rt. 5.6.2 </w:t>
      </w:r>
      <w:r w:rsidRPr="00767038">
        <w:rPr>
          <w:lang w:val="pl-PL"/>
        </w:rPr>
        <w:t xml:space="preserve">lit. </w:t>
      </w:r>
      <w:r w:rsidR="00250384" w:rsidRPr="00767038">
        <w:rPr>
          <w:lang w:val="pl-PL"/>
        </w:rPr>
        <w:t>(i)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250384" w:rsidRPr="00767038">
        <w:rPr>
          <w:lang w:val="pl-PL"/>
        </w:rPr>
        <w:t>)</w:t>
      </w:r>
    </w:p>
    <w:p w:rsidR="00E46C27" w:rsidRPr="00767038" w:rsidRDefault="004A2011" w:rsidP="00E46C27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color w:val="000000"/>
          <w:lang w:val="pl-PL"/>
        </w:rPr>
        <w:t>Weryfikacje</w:t>
      </w:r>
      <w:r w:rsidR="00C12CB6" w:rsidRPr="00767038">
        <w:rPr>
          <w:color w:val="000000"/>
          <w:lang w:val="pl-PL"/>
        </w:rPr>
        <w:t>/kontrole</w:t>
      </w:r>
      <w:r w:rsidRPr="00767038">
        <w:rPr>
          <w:color w:val="000000"/>
          <w:lang w:val="pl-PL"/>
        </w:rPr>
        <w:t xml:space="preserve"> administracyjne poniesionych wydatków zgłaszanych przez </w:t>
      </w:r>
      <w:r w:rsidR="00AC25C8" w:rsidRPr="00767038">
        <w:rPr>
          <w:color w:val="000000"/>
          <w:lang w:val="pl-PL"/>
        </w:rPr>
        <w:t>beneficjent</w:t>
      </w:r>
      <w:r w:rsidR="00C12CB6" w:rsidRPr="00767038">
        <w:rPr>
          <w:color w:val="000000"/>
          <w:lang w:val="pl-PL"/>
        </w:rPr>
        <w:t>ów</w:t>
      </w:r>
      <w:r w:rsidRPr="00767038">
        <w:rPr>
          <w:color w:val="000000"/>
          <w:lang w:val="pl-PL"/>
        </w:rPr>
        <w:t xml:space="preserve"> są </w:t>
      </w:r>
      <w:r w:rsidR="00C12CB6" w:rsidRPr="00767038">
        <w:rPr>
          <w:color w:val="000000"/>
          <w:lang w:val="pl-PL"/>
        </w:rPr>
        <w:t>weryfikacjami</w:t>
      </w:r>
      <w:r w:rsidR="003F454F" w:rsidRPr="00767038">
        <w:rPr>
          <w:color w:val="000000"/>
          <w:lang w:val="pl-PL"/>
        </w:rPr>
        <w:t xml:space="preserve"> prowadzonymi „zza </w:t>
      </w:r>
      <w:r w:rsidR="00A35E94" w:rsidRPr="00767038">
        <w:rPr>
          <w:color w:val="000000"/>
          <w:lang w:val="pl-PL"/>
        </w:rPr>
        <w:t>biurka” raportów</w:t>
      </w:r>
      <w:r w:rsidRPr="00767038">
        <w:rPr>
          <w:color w:val="000000"/>
          <w:lang w:val="pl-PL"/>
        </w:rPr>
        <w:t xml:space="preserve"> finansowych i odpowiedniej </w:t>
      </w:r>
      <w:r w:rsidR="003F454F" w:rsidRPr="00767038">
        <w:rPr>
          <w:color w:val="000000"/>
          <w:lang w:val="pl-PL"/>
        </w:rPr>
        <w:t xml:space="preserve">załączonej </w:t>
      </w:r>
      <w:r w:rsidRPr="00767038">
        <w:rPr>
          <w:color w:val="000000"/>
          <w:lang w:val="pl-PL"/>
        </w:rPr>
        <w:t xml:space="preserve">dokumentacji – dowodów poniesienia wydatków (np. faktur, dowodów płatności, kart pracy, list obecności, dowodów dostaw, wyciągów bankowych </w:t>
      </w:r>
      <w:r w:rsidR="00A35E94" w:rsidRPr="00767038">
        <w:rPr>
          <w:color w:val="000000"/>
          <w:lang w:val="pl-PL"/>
        </w:rPr>
        <w:t>itd.</w:t>
      </w:r>
      <w:r w:rsidR="00A35E94" w:rsidRPr="00767038">
        <w:rPr>
          <w:lang w:val="pl-PL"/>
        </w:rPr>
        <w:t>)</w:t>
      </w:r>
      <w:r w:rsidR="00A35E94" w:rsidRPr="00767038">
        <w:rPr>
          <w:color w:val="000000"/>
          <w:lang w:val="pl-PL"/>
        </w:rPr>
        <w:t>. Główne</w:t>
      </w:r>
      <w:r w:rsidR="00C20E1B" w:rsidRPr="00767038">
        <w:rPr>
          <w:color w:val="000000"/>
          <w:lang w:val="pl-PL"/>
        </w:rPr>
        <w:t xml:space="preserve"> zasady weryfikacji</w:t>
      </w:r>
      <w:r w:rsidR="003F454F" w:rsidRPr="00767038">
        <w:rPr>
          <w:color w:val="000000"/>
          <w:lang w:val="pl-PL"/>
        </w:rPr>
        <w:t>/kontroli</w:t>
      </w:r>
      <w:r w:rsidR="00C20E1B" w:rsidRPr="00767038">
        <w:rPr>
          <w:color w:val="000000"/>
          <w:lang w:val="pl-PL"/>
        </w:rPr>
        <w:t xml:space="preserve"> administracyjnych to</w:t>
      </w:r>
      <w:r w:rsidR="00E46C27" w:rsidRPr="00767038">
        <w:rPr>
          <w:color w:val="000000"/>
          <w:lang w:val="pl-PL"/>
        </w:rPr>
        <w:t>:</w:t>
      </w:r>
    </w:p>
    <w:p w:rsidR="00E46C27" w:rsidRPr="00767038" w:rsidRDefault="00315981" w:rsidP="003F454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Operator Programu</w:t>
      </w:r>
      <w:r w:rsidR="00C20E1B" w:rsidRPr="00767038">
        <w:rPr>
          <w:lang w:val="pl-PL"/>
        </w:rPr>
        <w:t xml:space="preserve"> powinien zweryfikować każdy raport finansowy przesłany przez </w:t>
      </w:r>
      <w:r w:rsidR="00AC25C8" w:rsidRPr="00767038">
        <w:rPr>
          <w:lang w:val="pl-PL"/>
        </w:rPr>
        <w:t>beneficjenta</w:t>
      </w:r>
      <w:r w:rsidR="003F454F" w:rsidRPr="00767038">
        <w:rPr>
          <w:lang w:val="pl-PL"/>
        </w:rPr>
        <w:t>, przed jego zatwierdzeniem</w:t>
      </w:r>
      <w:r w:rsidR="00E46C27" w:rsidRPr="00767038">
        <w:rPr>
          <w:lang w:val="pl-PL"/>
        </w:rPr>
        <w:t xml:space="preserve">; </w:t>
      </w:r>
    </w:p>
    <w:p w:rsidR="00E46C27" w:rsidRPr="00767038" w:rsidRDefault="00C20E1B" w:rsidP="003F454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dokumenty, które </w:t>
      </w:r>
      <w:r w:rsidR="00AC25C8" w:rsidRPr="00767038">
        <w:rPr>
          <w:lang w:val="pl-PL"/>
        </w:rPr>
        <w:t>beneficjent</w:t>
      </w:r>
      <w:r w:rsidRPr="00767038">
        <w:rPr>
          <w:lang w:val="pl-PL"/>
        </w:rPr>
        <w:t xml:space="preserve"> ma przesłać wraz z każdym raportem, powinny być szczegółowe, tak aby </w:t>
      </w:r>
      <w:r w:rsidR="00315981" w:rsidRPr="00767038">
        <w:rPr>
          <w:lang w:val="pl-PL"/>
        </w:rPr>
        <w:t>Operator Programu</w:t>
      </w:r>
      <w:r w:rsidRPr="00767038">
        <w:rPr>
          <w:lang w:val="pl-PL"/>
        </w:rPr>
        <w:t xml:space="preserve"> mógł zweryfikować legalność i prawidłowość wydatków</w:t>
      </w:r>
      <w:r w:rsidR="004379FE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Wymagana dokumentacja dodatkowa może obejmować: zestawienie poszczególnych pozycji wydatków, całkowitą kwotę wydatków, odniesienia do odpowiednich faktur, datę płatności i numer referencyjny płatności </w:t>
      </w:r>
      <w:r w:rsidR="003F454F" w:rsidRPr="00767038">
        <w:rPr>
          <w:lang w:val="pl-PL"/>
        </w:rPr>
        <w:t>oraz</w:t>
      </w:r>
      <w:r w:rsidRPr="00767038">
        <w:rPr>
          <w:lang w:val="pl-PL"/>
        </w:rPr>
        <w:t xml:space="preserve"> zestawienie podpisanych umów (jeżeli </w:t>
      </w:r>
      <w:r w:rsidR="003F454F" w:rsidRPr="00767038">
        <w:rPr>
          <w:lang w:val="pl-PL"/>
        </w:rPr>
        <w:t>dotyczy</w:t>
      </w:r>
      <w:r w:rsidR="004379FE" w:rsidRPr="00767038">
        <w:rPr>
          <w:lang w:val="pl-PL"/>
        </w:rPr>
        <w:t>).</w:t>
      </w:r>
      <w:r w:rsidRPr="00767038">
        <w:rPr>
          <w:lang w:val="pl-PL"/>
        </w:rPr>
        <w:t xml:space="preserve"> W idealnej sytuacji powinny być także dostarczone</w:t>
      </w:r>
      <w:r w:rsidR="00D368BB" w:rsidRPr="00767038">
        <w:rPr>
          <w:lang w:val="pl-PL"/>
        </w:rPr>
        <w:t xml:space="preserve"> </w:t>
      </w:r>
      <w:r w:rsidRPr="00767038">
        <w:rPr>
          <w:lang w:val="pl-PL"/>
        </w:rPr>
        <w:t>faktury elektroniczne i płatności lub kopie faktur i dowody płatności dla wszystkich pozycji wydatków</w:t>
      </w:r>
      <w:r w:rsidR="004379FE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Jeżeli wymagałoby to </w:t>
      </w:r>
      <w:r w:rsidR="003F454F" w:rsidRPr="00767038">
        <w:rPr>
          <w:lang w:val="pl-PL"/>
        </w:rPr>
        <w:t xml:space="preserve">przygotowania </w:t>
      </w:r>
      <w:r w:rsidRPr="00767038">
        <w:rPr>
          <w:lang w:val="pl-PL"/>
        </w:rPr>
        <w:t>dużej liczby dokumentów</w:t>
      </w:r>
      <w:r w:rsidR="00D368BB" w:rsidRPr="00767038">
        <w:rPr>
          <w:lang w:val="pl-PL"/>
        </w:rPr>
        <w:t>,</w:t>
      </w:r>
      <w:r w:rsidRPr="00767038">
        <w:rPr>
          <w:lang w:val="pl-PL"/>
        </w:rPr>
        <w:t xml:space="preserve"> można zastosować podejście alternatywne, które polega na żądaniu </w:t>
      </w:r>
      <w:r w:rsidR="003F454F" w:rsidRPr="00767038">
        <w:rPr>
          <w:lang w:val="pl-PL"/>
        </w:rPr>
        <w:t xml:space="preserve">załączenia </w:t>
      </w:r>
      <w:r w:rsidRPr="00767038">
        <w:rPr>
          <w:lang w:val="pl-PL"/>
        </w:rPr>
        <w:t>dokumentacji wyłącznie dla próby wybranych pozycji wydatków na potrzeby szczegółowe</w:t>
      </w:r>
      <w:r w:rsidR="003F454F" w:rsidRPr="00767038">
        <w:rPr>
          <w:lang w:val="pl-PL"/>
        </w:rPr>
        <w:t>j</w:t>
      </w:r>
      <w:r w:rsidRPr="00767038">
        <w:rPr>
          <w:lang w:val="pl-PL"/>
        </w:rPr>
        <w:t xml:space="preserve"> </w:t>
      </w:r>
      <w:r w:rsidR="003F454F" w:rsidRPr="00767038">
        <w:rPr>
          <w:lang w:val="pl-PL"/>
        </w:rPr>
        <w:t>weryfikacji</w:t>
      </w:r>
      <w:r w:rsidRPr="00767038">
        <w:rPr>
          <w:lang w:val="pl-PL"/>
        </w:rPr>
        <w:t>, jak wyjaśnione poniżej</w:t>
      </w:r>
      <w:r w:rsidR="004379FE" w:rsidRPr="00767038">
        <w:rPr>
          <w:lang w:val="pl-PL"/>
        </w:rPr>
        <w:t>;</w:t>
      </w:r>
    </w:p>
    <w:p w:rsidR="00E46C27" w:rsidRPr="00767038" w:rsidRDefault="00C20E1B" w:rsidP="003F454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w przypadku dużego wolumenu transakcji lub dokumentów dodatkowych do raportów finansowych zaleca się skoncentrowanie weryfikacji na próbach transakcji lub pozycji, które wybiera się w oparciu o czynniki ryzyka</w:t>
      </w:r>
      <w:r w:rsidR="00E46C27" w:rsidRPr="00767038">
        <w:rPr>
          <w:lang w:val="pl-PL"/>
        </w:rPr>
        <w:t>;</w:t>
      </w:r>
    </w:p>
    <w:p w:rsidR="00E46C27" w:rsidRPr="00767038" w:rsidRDefault="00FB2938" w:rsidP="003F454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938AFB6" wp14:editId="5EB98D57">
                <wp:simplePos x="0" y="0"/>
                <wp:positionH relativeFrom="margin">
                  <wp:posOffset>2905125</wp:posOffset>
                </wp:positionH>
                <wp:positionV relativeFrom="paragraph">
                  <wp:posOffset>147320</wp:posOffset>
                </wp:positionV>
                <wp:extent cx="2971800" cy="4016375"/>
                <wp:effectExtent l="0" t="0" r="0" b="3175"/>
                <wp:wrapThrough wrapText="bothSides">
                  <wp:wrapPolygon edited="0">
                    <wp:start x="0" y="0"/>
                    <wp:lineTo x="0" y="21515"/>
                    <wp:lineTo x="21462" y="21515"/>
                    <wp:lineTo x="21462" y="0"/>
                    <wp:lineTo x="0" y="0"/>
                  </wp:wrapPolygon>
                </wp:wrapThrough>
                <wp:docPr id="11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4016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2D7" w:rsidRPr="00C82F26" w:rsidRDefault="00C522D7" w:rsidP="004379FE">
                            <w:pPr>
                              <w:jc w:val="left"/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Dobre</w:t>
                            </w:r>
                            <w:r w:rsidRPr="00C82F26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 praktyk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C82F26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C82F26" w:rsidRDefault="00C522D7" w:rsidP="004379FE">
                            <w:pPr>
                              <w:spacing w:before="0"/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Wybór próby – dowody poniesienia wydatków </w:t>
                            </w:r>
                          </w:p>
                          <w:p w:rsidR="00C522D7" w:rsidRPr="00C82F26" w:rsidRDefault="00C522D7" w:rsidP="00115052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sz w:val="18"/>
                                <w:szCs w:val="18"/>
                                <w:lang w:val="pl-PL"/>
                              </w:rPr>
                              <w:t>Dokonując wyboru próby transakcji lub pozycji do szczegółowe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j</w:t>
                            </w:r>
                            <w:r w:rsidRPr="00C82F2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weryfikacji</w:t>
                            </w:r>
                            <w:r w:rsidRPr="00C82F26">
                              <w:rPr>
                                <w:sz w:val="18"/>
                                <w:szCs w:val="18"/>
                                <w:lang w:val="pl-PL"/>
                              </w:rPr>
                              <w:t>, można wziąć pod uwagę następujące czynniki ryzyka:</w:t>
                            </w:r>
                          </w:p>
                          <w:p w:rsidR="00C522D7" w:rsidRPr="00C82F26" w:rsidRDefault="00C522D7" w:rsidP="002142C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rodzaj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beneficjenta</w:t>
                            </w: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lub projektu,</w:t>
                            </w:r>
                          </w:p>
                          <w:p w:rsidR="00C522D7" w:rsidRPr="00C82F26" w:rsidRDefault="00C522D7" w:rsidP="002142C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wartość lub rodzaj pozycji wydatków,</w:t>
                            </w:r>
                          </w:p>
                          <w:p w:rsidR="00C522D7" w:rsidRPr="00C82F26" w:rsidRDefault="00C522D7" w:rsidP="002142C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rodzaj wskaźników postępu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rzeczoweg</w:t>
                            </w: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o,</w:t>
                            </w:r>
                          </w:p>
                          <w:p w:rsidR="00C522D7" w:rsidRPr="00C82F26" w:rsidRDefault="00C522D7" w:rsidP="002142C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wcześniejsze doświadczenia (np. liczbę i złożoność stwierdzonych problemów w trakcie przeglądania poprzednich raportów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beneficjenta</w:t>
                            </w: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),</w:t>
                            </w:r>
                          </w:p>
                          <w:p w:rsidR="00C522D7" w:rsidRPr="00C82F26" w:rsidRDefault="00C522D7" w:rsidP="002142C1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procedury kontrolne na poziomie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beneficjenta</w:t>
                            </w: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(nie zastępuje to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jednak</w:t>
                            </w:r>
                            <w:r w:rsidRPr="00C82F26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weryfikacj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i przeprowadzanych przez OP).</w:t>
                            </w:r>
                          </w:p>
                          <w:p w:rsidR="00C522D7" w:rsidRPr="00C82F26" w:rsidRDefault="00C522D7" w:rsidP="00115052">
                            <w:pPr>
                              <w:contextualSpacing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C82F26">
                              <w:rPr>
                                <w:sz w:val="18"/>
                                <w:szCs w:val="18"/>
                                <w:lang w:val="pl-PL"/>
                              </w:rPr>
                              <w:t>Wybraną próbę opartą na czynnikach ryzyka należy uzupełnić losowo wybraną próbą faktur lub transakcji w celu zapewnienia, że istnieje pewne prawdopodobieństwo wyboru wszystkich pozycji</w:t>
                            </w:r>
                            <w:r w:rsidRPr="00C82F26">
                              <w:rPr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265F1A" w:rsidRDefault="00C522D7" w:rsidP="00904FBF">
                            <w:pPr>
                              <w:pStyle w:val="Akapitzlist"/>
                              <w:ind w:left="284"/>
                              <w:rPr>
                                <w:color w:val="FFFFFF" w:themeColor="background1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44" type="#_x0000_t109" style="position:absolute;left:0;text-align:left;margin-left:228.75pt;margin-top:11.6pt;width:234pt;height:316.2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" fillcolor="#deeaf6 [660]" stroked="f">
                <v:path arrowok="t"/>
                <v:textbox>
                  <w:txbxContent>
                    <w:p w:rsidR="00C522D7" w:rsidRPr="00C82F26" w:rsidRDefault="00C522D7" w:rsidP="004379FE">
                      <w:pPr>
                        <w:jc w:val="left"/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Dobre</w:t>
                      </w:r>
                      <w:r w:rsidRPr="00C82F26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 praktyk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C82F26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  <w:p w:rsidR="00C522D7" w:rsidRPr="00C82F26" w:rsidRDefault="00C522D7" w:rsidP="004379FE">
                      <w:pPr>
                        <w:spacing w:before="0"/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i/>
                          <w:i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Wybór próby – dowody poniesienia wydatków </w:t>
                      </w:r>
                    </w:p>
                    <w:p w:rsidR="00C522D7" w:rsidRPr="00C82F26" w:rsidRDefault="00C522D7" w:rsidP="00115052">
                      <w:pPr>
                        <w:spacing w:after="0"/>
                        <w:rPr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sz w:val="18"/>
                          <w:szCs w:val="18"/>
                          <w:lang w:val="pl-PL"/>
                        </w:rPr>
                        <w:t>Dokonując wyboru próby transakcji lub pozycji do szczegółowe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j</w:t>
                      </w:r>
                      <w:r w:rsidRPr="00C82F2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weryfikacji</w:t>
                      </w:r>
                      <w:r w:rsidRPr="00C82F26">
                        <w:rPr>
                          <w:sz w:val="18"/>
                          <w:szCs w:val="18"/>
                          <w:lang w:val="pl-PL"/>
                        </w:rPr>
                        <w:t>, można wziąć pod uwagę następujące czynniki ryzyka:</w:t>
                      </w:r>
                    </w:p>
                    <w:p w:rsidR="00C522D7" w:rsidRPr="00C82F26" w:rsidRDefault="00C522D7" w:rsidP="002142C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rodzaj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beneficjenta</w:t>
                      </w: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lub projektu,</w:t>
                      </w:r>
                    </w:p>
                    <w:p w:rsidR="00C522D7" w:rsidRPr="00C82F26" w:rsidRDefault="00C522D7" w:rsidP="002142C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wartość lub rodzaj pozycji wydatków,</w:t>
                      </w:r>
                    </w:p>
                    <w:p w:rsidR="00C522D7" w:rsidRPr="00C82F26" w:rsidRDefault="00C522D7" w:rsidP="002142C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rodzaj wskaźników postępu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rzeczoweg</w:t>
                      </w: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o,</w:t>
                      </w:r>
                    </w:p>
                    <w:p w:rsidR="00C522D7" w:rsidRPr="00C82F26" w:rsidRDefault="00C522D7" w:rsidP="002142C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wcześniejsze doświadczenia (np. liczbę i złożoność stwierdzonych problemów w trakcie przeglądania poprzednich raportów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beneficjenta</w:t>
                      </w: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),</w:t>
                      </w:r>
                    </w:p>
                    <w:p w:rsidR="00C522D7" w:rsidRPr="00C82F26" w:rsidRDefault="00C522D7" w:rsidP="002142C1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procedury kontrolne na poziomie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beneficjenta</w:t>
                      </w: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(nie zastępuje to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jednak</w:t>
                      </w:r>
                      <w:r w:rsidRPr="00C82F26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weryfikacj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i przeprowadzanych przez OP).</w:t>
                      </w:r>
                    </w:p>
                    <w:p w:rsidR="00C522D7" w:rsidRPr="00C82F26" w:rsidRDefault="00C522D7" w:rsidP="00115052">
                      <w:pPr>
                        <w:contextualSpacing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C82F26">
                        <w:rPr>
                          <w:sz w:val="18"/>
                          <w:szCs w:val="18"/>
                          <w:lang w:val="pl-PL"/>
                        </w:rPr>
                        <w:t>Wybraną próbę opartą na czynnikach ryzyka należy uzupełnić losowo wybraną próbą faktur lub transakcji w celu zapewnienia, że istnieje pewne prawdopodobieństwo wyboru wszystkich pozycji</w:t>
                      </w:r>
                      <w:r w:rsidRPr="00C82F26">
                        <w:rPr>
                          <w:color w:val="000000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522D7" w:rsidRPr="00265F1A" w:rsidRDefault="00C522D7" w:rsidP="00904FBF">
                      <w:pPr>
                        <w:pStyle w:val="Akapitzlist"/>
                        <w:ind w:left="284"/>
                        <w:rPr>
                          <w:color w:val="FFFFFF" w:themeColor="background1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20E1B" w:rsidRPr="00767038">
        <w:rPr>
          <w:lang w:val="pl-PL"/>
        </w:rPr>
        <w:t xml:space="preserve">stosowaną metodologię wyboru próby i </w:t>
      </w:r>
      <w:r w:rsidR="003F454F" w:rsidRPr="00767038">
        <w:rPr>
          <w:lang w:val="pl-PL"/>
        </w:rPr>
        <w:t xml:space="preserve">określenie </w:t>
      </w:r>
      <w:r w:rsidR="00C20E1B" w:rsidRPr="00767038">
        <w:rPr>
          <w:lang w:val="pl-PL"/>
        </w:rPr>
        <w:t>racjonaln</w:t>
      </w:r>
      <w:r w:rsidR="003F454F" w:rsidRPr="00767038">
        <w:rPr>
          <w:lang w:val="pl-PL"/>
        </w:rPr>
        <w:t>ego</w:t>
      </w:r>
      <w:r w:rsidR="00C20E1B" w:rsidRPr="00767038">
        <w:rPr>
          <w:lang w:val="pl-PL"/>
        </w:rPr>
        <w:t xml:space="preserve"> procent</w:t>
      </w:r>
      <w:r w:rsidR="003F454F" w:rsidRPr="00767038">
        <w:rPr>
          <w:lang w:val="pl-PL"/>
        </w:rPr>
        <w:t>u</w:t>
      </w:r>
      <w:r w:rsidR="00C20E1B" w:rsidRPr="00767038">
        <w:rPr>
          <w:lang w:val="pl-PL"/>
        </w:rPr>
        <w:t xml:space="preserve"> zgłoszonych wydatków projektowych, które należy zweryfikować (dla każdego poziomu ryzyka), ustala wcześniej </w:t>
      </w:r>
      <w:r w:rsidR="00315981" w:rsidRPr="00767038">
        <w:rPr>
          <w:lang w:val="pl-PL"/>
        </w:rPr>
        <w:t>Operator Programu</w:t>
      </w:r>
      <w:r w:rsidR="00C20E1B" w:rsidRPr="00767038">
        <w:rPr>
          <w:lang w:val="pl-PL"/>
        </w:rPr>
        <w:t>, opisując i uzasadniając ją w opisie SZK</w:t>
      </w:r>
      <w:r w:rsidR="004379FE" w:rsidRPr="00767038">
        <w:rPr>
          <w:lang w:val="pl-PL"/>
        </w:rPr>
        <w:t>;</w:t>
      </w:r>
    </w:p>
    <w:p w:rsidR="00716E75" w:rsidRPr="00767038" w:rsidRDefault="00C20E1B" w:rsidP="003F454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jeżeli w próbie wybranej do testu stwierdzi</w:t>
      </w:r>
      <w:r w:rsidR="007C0DCB" w:rsidRPr="00767038">
        <w:rPr>
          <w:lang w:val="pl-PL"/>
        </w:rPr>
        <w:t xml:space="preserve"> się poważne błędy, zaleca się zwiększenie próby w celu ustalenia, czy błędy odznaczają się wspólnymi cechami (tj. rodzajem transakcji, miejscem, produktem, okresem czasu</w:t>
      </w:r>
      <w:r w:rsidR="00716E75" w:rsidRPr="00767038">
        <w:rPr>
          <w:lang w:val="pl-PL"/>
        </w:rPr>
        <w:t>)</w:t>
      </w:r>
      <w:r w:rsidR="007C0DCB" w:rsidRPr="00767038">
        <w:rPr>
          <w:lang w:val="pl-PL"/>
        </w:rPr>
        <w:t xml:space="preserve">, a </w:t>
      </w:r>
      <w:r w:rsidR="003F454F" w:rsidRPr="00767038">
        <w:rPr>
          <w:lang w:val="pl-PL"/>
        </w:rPr>
        <w:t xml:space="preserve">następnie </w:t>
      </w:r>
      <w:r w:rsidR="007C0DCB" w:rsidRPr="00767038">
        <w:rPr>
          <w:lang w:val="pl-PL"/>
        </w:rPr>
        <w:t>albo rozszerzenie weryfikacji do 100% wydatków, albo projekcję błędów stwierdzon</w:t>
      </w:r>
      <w:r w:rsidR="00E977C7">
        <w:rPr>
          <w:lang w:val="pl-PL"/>
        </w:rPr>
        <w:t>ych</w:t>
      </w:r>
      <w:r w:rsidR="007C0DCB" w:rsidRPr="00767038">
        <w:rPr>
          <w:lang w:val="pl-PL"/>
        </w:rPr>
        <w:t xml:space="preserve"> w próbie na populację nieobjętą weryfikacją</w:t>
      </w:r>
      <w:r w:rsidR="00716E75" w:rsidRPr="00767038">
        <w:rPr>
          <w:lang w:val="pl-PL"/>
        </w:rPr>
        <w:t xml:space="preserve">; </w:t>
      </w:r>
    </w:p>
    <w:p w:rsidR="00716E75" w:rsidRPr="00767038" w:rsidRDefault="007C0DCB" w:rsidP="003F454F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najlepiej zgodność z procedurami zamówień publicznych </w:t>
      </w:r>
      <w:r w:rsidR="00826F55" w:rsidRPr="00767038">
        <w:rPr>
          <w:lang w:val="pl-PL"/>
        </w:rPr>
        <w:t xml:space="preserve">weryfikować </w:t>
      </w:r>
      <w:r w:rsidRPr="00767038">
        <w:rPr>
          <w:lang w:val="pl-PL"/>
        </w:rPr>
        <w:t>w ramach weryfikacji</w:t>
      </w:r>
      <w:r w:rsidR="00826F55" w:rsidRPr="00767038">
        <w:rPr>
          <w:lang w:val="pl-PL"/>
        </w:rPr>
        <w:t>/kontroli</w:t>
      </w:r>
      <w:r w:rsidRPr="00767038">
        <w:rPr>
          <w:lang w:val="pl-PL"/>
        </w:rPr>
        <w:t xml:space="preserve"> administracyjnych</w:t>
      </w:r>
      <w:r w:rsidR="00431236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Zaleca się zweryfikowanie wszystkich umów powyżej progów UE </w:t>
      </w:r>
      <w:r w:rsidR="00826F55" w:rsidRPr="00767038">
        <w:rPr>
          <w:lang w:val="pl-PL"/>
        </w:rPr>
        <w:t>oraz</w:t>
      </w:r>
      <w:r w:rsidRPr="00767038">
        <w:rPr>
          <w:lang w:val="pl-PL"/>
        </w:rPr>
        <w:t xml:space="preserve"> prób</w:t>
      </w:r>
      <w:r w:rsidR="00826F55" w:rsidRPr="00767038">
        <w:rPr>
          <w:lang w:val="pl-PL"/>
        </w:rPr>
        <w:t>ę</w:t>
      </w:r>
      <w:r w:rsidRPr="00767038">
        <w:rPr>
          <w:lang w:val="pl-PL"/>
        </w:rPr>
        <w:t xml:space="preserve"> umów poniżej progów</w:t>
      </w:r>
      <w:r w:rsidR="00826F55" w:rsidRPr="00767038">
        <w:rPr>
          <w:lang w:val="pl-PL"/>
        </w:rPr>
        <w:t>,</w:t>
      </w:r>
      <w:r w:rsidRPr="00767038">
        <w:rPr>
          <w:lang w:val="pl-PL"/>
        </w:rPr>
        <w:t xml:space="preserve"> wybran</w:t>
      </w:r>
      <w:r w:rsidR="00826F55" w:rsidRPr="00767038">
        <w:rPr>
          <w:lang w:val="pl-PL"/>
        </w:rPr>
        <w:t>ą</w:t>
      </w:r>
      <w:r w:rsidRPr="00767038">
        <w:rPr>
          <w:lang w:val="pl-PL"/>
        </w:rPr>
        <w:t xml:space="preserve"> przy </w:t>
      </w:r>
      <w:r w:rsidRPr="00767038">
        <w:rPr>
          <w:lang w:val="pl-PL"/>
        </w:rPr>
        <w:lastRenderedPageBreak/>
        <w:t>zastosowaniu podejścia opartego na ryzyku</w:t>
      </w:r>
      <w:r w:rsidR="00431236" w:rsidRPr="00767038">
        <w:rPr>
          <w:lang w:val="pl-PL"/>
        </w:rPr>
        <w:t xml:space="preserve">. </w:t>
      </w:r>
    </w:p>
    <w:p w:rsidR="00386D12" w:rsidRPr="00767038" w:rsidRDefault="00C82F26" w:rsidP="00C27B08">
      <w:pPr>
        <w:pStyle w:val="Nagwek3"/>
        <w:rPr>
          <w:lang w:val="pl-PL"/>
        </w:rPr>
      </w:pPr>
      <w:r w:rsidRPr="00767038">
        <w:rPr>
          <w:lang w:val="pl-PL"/>
        </w:rPr>
        <w:t>Weryfikacje</w:t>
      </w:r>
      <w:r w:rsidR="00826F55" w:rsidRPr="00767038">
        <w:rPr>
          <w:lang w:val="pl-PL"/>
        </w:rPr>
        <w:t>/kontrole</w:t>
      </w:r>
      <w:r w:rsidRPr="00767038">
        <w:rPr>
          <w:lang w:val="pl-PL"/>
        </w:rPr>
        <w:t xml:space="preserve"> projektów </w:t>
      </w:r>
      <w:r w:rsidR="00826F55" w:rsidRPr="00767038">
        <w:rPr>
          <w:lang w:val="pl-PL"/>
        </w:rPr>
        <w:t>na</w:t>
      </w:r>
      <w:r w:rsidRPr="00767038">
        <w:rPr>
          <w:lang w:val="pl-PL"/>
        </w:rPr>
        <w:t xml:space="preserve"> miejscu ich realizacji (art. </w:t>
      </w:r>
      <w:r w:rsidR="00431236" w:rsidRPr="00767038">
        <w:rPr>
          <w:lang w:val="pl-PL"/>
        </w:rPr>
        <w:t xml:space="preserve">5.6.2 </w:t>
      </w:r>
      <w:r w:rsidRPr="00767038">
        <w:rPr>
          <w:lang w:val="pl-PL"/>
        </w:rPr>
        <w:t xml:space="preserve">lit. </w:t>
      </w:r>
      <w:r w:rsidR="00431236" w:rsidRPr="00767038">
        <w:rPr>
          <w:lang w:val="pl-PL"/>
        </w:rPr>
        <w:t>(ii)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431236" w:rsidRPr="00767038">
        <w:rPr>
          <w:lang w:val="pl-PL"/>
        </w:rPr>
        <w:t>)</w:t>
      </w:r>
    </w:p>
    <w:p w:rsidR="009B4899" w:rsidRPr="00767038" w:rsidRDefault="00A35E94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Nawet, jeżeli</w:t>
      </w:r>
      <w:r w:rsidR="00C5356E" w:rsidRPr="00767038">
        <w:rPr>
          <w:rFonts w:cs="Times New Roman"/>
          <w:color w:val="000000"/>
          <w:lang w:val="pl-PL"/>
        </w:rPr>
        <w:t xml:space="preserve"> weryfikacje</w:t>
      </w:r>
      <w:r w:rsidR="0036196F" w:rsidRPr="00767038">
        <w:rPr>
          <w:rFonts w:cs="Times New Roman"/>
          <w:color w:val="000000"/>
          <w:lang w:val="pl-PL"/>
        </w:rPr>
        <w:t>/kontrole</w:t>
      </w:r>
      <w:r w:rsidR="00C5356E" w:rsidRPr="00767038">
        <w:rPr>
          <w:rFonts w:cs="Times New Roman"/>
          <w:color w:val="000000"/>
          <w:lang w:val="pl-PL"/>
        </w:rPr>
        <w:t xml:space="preserve"> administracyjne są wyczerpujące i szczegółowe, pewnych elementów dotyczących legalności i prawidłowości wydatków nie można zweryfikować w trakcie </w:t>
      </w:r>
      <w:r w:rsidR="0036196F" w:rsidRPr="00767038">
        <w:rPr>
          <w:rFonts w:cs="Times New Roman"/>
          <w:color w:val="000000"/>
          <w:lang w:val="pl-PL"/>
        </w:rPr>
        <w:t xml:space="preserve">takiej </w:t>
      </w:r>
      <w:r w:rsidR="00C5356E" w:rsidRPr="00767038">
        <w:rPr>
          <w:rFonts w:cs="Times New Roman"/>
          <w:color w:val="000000"/>
          <w:lang w:val="pl-PL"/>
        </w:rPr>
        <w:t>kontroli</w:t>
      </w:r>
      <w:r w:rsidR="009B4899" w:rsidRPr="00767038">
        <w:rPr>
          <w:rFonts w:cs="Times New Roman"/>
          <w:color w:val="000000"/>
          <w:lang w:val="pl-PL"/>
        </w:rPr>
        <w:t xml:space="preserve">. </w:t>
      </w:r>
    </w:p>
    <w:p w:rsidR="009B4899" w:rsidRPr="00767038" w:rsidRDefault="00AE374B" w:rsidP="009B4899">
      <w:pPr>
        <w:spacing w:before="0"/>
        <w:rPr>
          <w:lang w:val="pl-PL"/>
        </w:rPr>
      </w:pPr>
      <w:r w:rsidRPr="00767038">
        <w:rPr>
          <w:lang w:val="pl-PL"/>
        </w:rPr>
        <w:t xml:space="preserve">Kontrole </w:t>
      </w:r>
      <w:r w:rsidR="00C5356E" w:rsidRPr="00767038">
        <w:rPr>
          <w:lang w:val="pl-PL"/>
        </w:rPr>
        <w:t>na miejscu należy przeprowadzać w celu sprawdzenia w szczególności</w:t>
      </w:r>
      <w:r w:rsidR="009B4899" w:rsidRPr="00767038">
        <w:rPr>
          <w:lang w:val="pl-PL"/>
        </w:rPr>
        <w:t>:</w:t>
      </w:r>
    </w:p>
    <w:p w:rsidR="009B4899" w:rsidRPr="00767038" w:rsidRDefault="00C5356E" w:rsidP="00813D2E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rzeczywistego istnienia projektu</w:t>
      </w:r>
      <w:r w:rsidR="009B4899" w:rsidRPr="00767038">
        <w:rPr>
          <w:lang w:val="pl-PL"/>
        </w:rPr>
        <w:t>;</w:t>
      </w:r>
    </w:p>
    <w:p w:rsidR="009B4899" w:rsidRPr="00767038" w:rsidRDefault="00C5356E" w:rsidP="00813D2E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dostarczenia produktu lub usługi w pełnej zgodności z </w:t>
      </w:r>
      <w:r w:rsidR="0036196F" w:rsidRPr="00767038">
        <w:rPr>
          <w:lang w:val="pl-PL"/>
        </w:rPr>
        <w:t>U</w:t>
      </w:r>
      <w:r w:rsidRPr="00767038">
        <w:rPr>
          <w:lang w:val="pl-PL"/>
        </w:rPr>
        <w:t>mową w sprawie projektu</w:t>
      </w:r>
      <w:r w:rsidR="009B4899" w:rsidRPr="00767038">
        <w:rPr>
          <w:lang w:val="pl-PL"/>
        </w:rPr>
        <w:t>;</w:t>
      </w:r>
    </w:p>
    <w:p w:rsidR="009B4899" w:rsidRPr="00767038" w:rsidRDefault="00C5356E" w:rsidP="00813D2E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 xml:space="preserve">postępu </w:t>
      </w:r>
      <w:r w:rsidR="0036196F" w:rsidRPr="00767038">
        <w:rPr>
          <w:lang w:val="pl-PL"/>
        </w:rPr>
        <w:t>rzeczowego</w:t>
      </w:r>
      <w:r w:rsidR="009B4899" w:rsidRPr="00767038">
        <w:rPr>
          <w:lang w:val="pl-PL"/>
        </w:rPr>
        <w:t>;</w:t>
      </w:r>
    </w:p>
    <w:p w:rsidR="009B4899" w:rsidRPr="00767038" w:rsidRDefault="00C5356E" w:rsidP="00813D2E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zgodności z zasadami promocji i widoczności itd.</w:t>
      </w:r>
      <w:r w:rsidR="0028414F" w:rsidRPr="00767038">
        <w:rPr>
          <w:lang w:val="pl-PL"/>
        </w:rPr>
        <w:t>;</w:t>
      </w:r>
    </w:p>
    <w:p w:rsidR="009B4899" w:rsidRPr="00767038" w:rsidRDefault="00C5356E" w:rsidP="00813D2E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 w:rsidRPr="00767038">
        <w:rPr>
          <w:lang w:val="pl-PL"/>
        </w:rPr>
        <w:t>istnieni</w:t>
      </w:r>
      <w:r w:rsidR="0036196F" w:rsidRPr="00767038">
        <w:rPr>
          <w:lang w:val="pl-PL"/>
        </w:rPr>
        <w:t>a</w:t>
      </w:r>
      <w:r w:rsidRPr="00767038">
        <w:rPr>
          <w:lang w:val="pl-PL"/>
        </w:rPr>
        <w:t xml:space="preserve"> oryginałów dokumentów dodatkowych </w:t>
      </w:r>
      <w:r w:rsidR="009B4899" w:rsidRPr="00767038">
        <w:rPr>
          <w:lang w:val="pl-PL"/>
        </w:rPr>
        <w:t>(</w:t>
      </w:r>
      <w:r w:rsidRPr="00767038">
        <w:rPr>
          <w:lang w:val="pl-PL"/>
        </w:rPr>
        <w:t xml:space="preserve">zwłaszcza jeżeli ten sam </w:t>
      </w:r>
      <w:r w:rsidR="00AC25C8" w:rsidRPr="00767038">
        <w:rPr>
          <w:lang w:val="pl-PL"/>
        </w:rPr>
        <w:t>beneficjent</w:t>
      </w:r>
      <w:r w:rsidRPr="00767038">
        <w:rPr>
          <w:lang w:val="pl-PL"/>
        </w:rPr>
        <w:t xml:space="preserve"> realizuje więcej niż jeden projekt w jednym czasie lub uzyskuje środki finansowe od innych darczyńców</w:t>
      </w:r>
      <w:r w:rsidR="009B4899" w:rsidRPr="00767038">
        <w:rPr>
          <w:lang w:val="pl-PL"/>
        </w:rPr>
        <w:t>);</w:t>
      </w:r>
    </w:p>
    <w:p w:rsidR="0028414F" w:rsidRPr="00767038" w:rsidRDefault="00FB2938" w:rsidP="00813D2E">
      <w:pPr>
        <w:pStyle w:val="Akapitzlist"/>
        <w:numPr>
          <w:ilvl w:val="0"/>
          <w:numId w:val="30"/>
        </w:numPr>
        <w:spacing w:before="0"/>
        <w:ind w:left="284" w:hanging="284"/>
        <w:contextualSpacing w:val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70339A" wp14:editId="5E784B1F">
                <wp:simplePos x="0" y="0"/>
                <wp:positionH relativeFrom="margin">
                  <wp:posOffset>2981325</wp:posOffset>
                </wp:positionH>
                <wp:positionV relativeFrom="paragraph">
                  <wp:posOffset>409575</wp:posOffset>
                </wp:positionV>
                <wp:extent cx="2847975" cy="5310505"/>
                <wp:effectExtent l="0" t="0" r="9525" b="4445"/>
                <wp:wrapThrough wrapText="bothSides">
                  <wp:wrapPolygon edited="0">
                    <wp:start x="0" y="0"/>
                    <wp:lineTo x="0" y="21541"/>
                    <wp:lineTo x="21528" y="21541"/>
                    <wp:lineTo x="21528" y="0"/>
                    <wp:lineTo x="0" y="0"/>
                  </wp:wrapPolygon>
                </wp:wrapThrough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531050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2D7" w:rsidRPr="002F1E95" w:rsidRDefault="00C522D7" w:rsidP="00DE5468">
                            <w:pPr>
                              <w:spacing w:after="240"/>
                              <w:jc w:val="left"/>
                              <w:rPr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Dobre</w:t>
                            </w:r>
                            <w:r w:rsidRPr="002F1E95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 praktyk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i</w:t>
                            </w:r>
                            <w:r w:rsidRPr="002F1E95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2F1E95" w:rsidRDefault="00C522D7" w:rsidP="00DE5468">
                            <w:pPr>
                              <w:spacing w:after="240"/>
                              <w:jc w:val="left"/>
                              <w:rPr>
                                <w:i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  <w:lang w:val="pl-PL"/>
                              </w:rPr>
                              <w:t xml:space="preserve">Wybór próby – projekty </w:t>
                            </w:r>
                          </w:p>
                          <w:p w:rsidR="00C522D7" w:rsidRPr="002F1E95" w:rsidRDefault="00C522D7" w:rsidP="00DE5468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Dokonując wyboru próby projektów do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kontroli</w:t>
                            </w:r>
                            <w:r w:rsidRPr="002F1E95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na miejscu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ich realizacji</w:t>
                            </w:r>
                            <w:r w:rsidRPr="002F1E95">
                              <w:rPr>
                                <w:sz w:val="18"/>
                                <w:szCs w:val="18"/>
                                <w:lang w:val="pl-PL"/>
                              </w:rPr>
                              <w:t>, pod uwagę można wziąć następujące czynniki ryzyka:</w:t>
                            </w:r>
                          </w:p>
                          <w:p w:rsidR="00C522D7" w:rsidRPr="002F1E95" w:rsidRDefault="00C522D7" w:rsidP="00AE374B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złożoność projektu,</w:t>
                            </w:r>
                          </w:p>
                          <w:p w:rsidR="00C522D7" w:rsidRPr="002F1E95" w:rsidRDefault="00C522D7" w:rsidP="00AE374B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kwotę wsparcia publicznego,</w:t>
                            </w:r>
                          </w:p>
                          <w:p w:rsidR="00C522D7" w:rsidRPr="002F1E95" w:rsidRDefault="00C522D7" w:rsidP="00AE374B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zakres szczegółowych kontroli w trakcie weryfikacji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/kontroli</w:t>
                            </w: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administracyjnych, </w:t>
                            </w:r>
                          </w:p>
                          <w:p w:rsidR="00C522D7" w:rsidRPr="002F1E95" w:rsidRDefault="00C522D7" w:rsidP="00AE374B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poziom ryzyka stwierdzonego w trakcie weryfikacji administracyjnych (tj. problemów, nieprawidłowości, specjalnych transakcji, które wydają się nietypowe i wymagają dalszego zbadania),</w:t>
                            </w:r>
                          </w:p>
                          <w:p w:rsidR="00C522D7" w:rsidRPr="002F1E95" w:rsidRDefault="00C522D7" w:rsidP="00AE374B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audyty IA,</w:t>
                            </w:r>
                          </w:p>
                          <w:p w:rsidR="00C522D7" w:rsidRPr="002F1E95" w:rsidRDefault="00C522D7" w:rsidP="00AE374B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procedury kontrolne na poziomie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beneficjenta</w:t>
                            </w: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2F1E95" w:rsidRDefault="00C522D7" w:rsidP="00DE5468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Uzupełniająco należy wybrać losow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o</w:t>
                            </w: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próbę projektów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do kontroli</w:t>
                            </w: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2F1E95" w:rsidRDefault="00C522D7" w:rsidP="00DE546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522D7" w:rsidRPr="002F1E95" w:rsidRDefault="00C522D7" w:rsidP="00DE54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W przypadku stwierdzenia problemów na podstawie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kontroli</w:t>
                            </w: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na miejscu losowo wybranej próby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projektów, </w:t>
                            </w:r>
                            <w:r w:rsidRPr="002F1E95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należy zwiększyć próbę w celu ustalenia, czy zbliżone problemy występują w niekontrolowanych projektach.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45" type="#_x0000_t109" style="position:absolute;left:0;text-align:left;margin-left:234.75pt;margin-top:32.25pt;width:224.25pt;height:4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" fillcolor="#deeaf6 [660]" stroked="f">
                <v:path arrowok="t"/>
                <v:textbox>
                  <w:txbxContent>
                    <w:p w:rsidR="00C522D7" w:rsidRPr="002F1E95" w:rsidRDefault="00C522D7" w:rsidP="00DE5468">
                      <w:pPr>
                        <w:spacing w:after="240"/>
                        <w:jc w:val="left"/>
                        <w:rPr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Dobre</w:t>
                      </w:r>
                      <w:r w:rsidRPr="002F1E95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 praktyk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i</w:t>
                      </w:r>
                      <w:r w:rsidRPr="002F1E95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  <w:p w:rsidR="00C522D7" w:rsidRPr="002F1E95" w:rsidRDefault="00C522D7" w:rsidP="00DE5468">
                      <w:pPr>
                        <w:spacing w:after="240"/>
                        <w:jc w:val="left"/>
                        <w:rPr>
                          <w:i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i/>
                          <w:iCs/>
                          <w:color w:val="C45911" w:themeColor="accent2" w:themeShade="BF"/>
                          <w:sz w:val="18"/>
                          <w:szCs w:val="18"/>
                          <w:lang w:val="pl-PL"/>
                        </w:rPr>
                        <w:t xml:space="preserve">Wybór próby – projekty </w:t>
                      </w:r>
                    </w:p>
                    <w:p w:rsidR="00C522D7" w:rsidRPr="002F1E95" w:rsidRDefault="00C522D7" w:rsidP="00DE5468">
                      <w:pPr>
                        <w:spacing w:after="0"/>
                        <w:rPr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sz w:val="18"/>
                          <w:szCs w:val="18"/>
                          <w:lang w:val="pl-PL"/>
                        </w:rPr>
                        <w:t xml:space="preserve">Dokonując wyboru próby projektów do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kontroli</w:t>
                      </w:r>
                      <w:r w:rsidRPr="002F1E95">
                        <w:rPr>
                          <w:sz w:val="18"/>
                          <w:szCs w:val="18"/>
                          <w:lang w:val="pl-PL"/>
                        </w:rPr>
                        <w:t xml:space="preserve"> na miejscu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ich realizacji</w:t>
                      </w:r>
                      <w:r w:rsidRPr="002F1E95">
                        <w:rPr>
                          <w:sz w:val="18"/>
                          <w:szCs w:val="18"/>
                          <w:lang w:val="pl-PL"/>
                        </w:rPr>
                        <w:t>, pod uwagę można wziąć następujące czynniki ryzyka:</w:t>
                      </w:r>
                    </w:p>
                    <w:p w:rsidR="00C522D7" w:rsidRPr="002F1E95" w:rsidRDefault="00C522D7" w:rsidP="00AE374B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złożoność projektu,</w:t>
                      </w:r>
                    </w:p>
                    <w:p w:rsidR="00C522D7" w:rsidRPr="002F1E95" w:rsidRDefault="00C522D7" w:rsidP="00AE374B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kwotę wsparcia publicznego,</w:t>
                      </w:r>
                    </w:p>
                    <w:p w:rsidR="00C522D7" w:rsidRPr="002F1E95" w:rsidRDefault="00C522D7" w:rsidP="00AE374B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zakres szczegółowych kontroli w trakcie weryfikacji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/kontroli</w:t>
                      </w: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administracyjnych, </w:t>
                      </w:r>
                    </w:p>
                    <w:p w:rsidR="00C522D7" w:rsidRPr="002F1E95" w:rsidRDefault="00C522D7" w:rsidP="00AE374B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poziom ryzyka stwierdzonego w trakcie weryfikacji administracyjnych (tj. problemów, nieprawidłowości, specjalnych transakcji, które wydają się nietypowe i wymagają dalszego zbadania),</w:t>
                      </w:r>
                    </w:p>
                    <w:p w:rsidR="00C522D7" w:rsidRPr="002F1E95" w:rsidRDefault="00C522D7" w:rsidP="00AE374B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audyty IA,</w:t>
                      </w:r>
                    </w:p>
                    <w:p w:rsidR="00C522D7" w:rsidRPr="002F1E95" w:rsidRDefault="00C522D7" w:rsidP="00AE374B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procedury kontrolne na poziomie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beneficjenta</w:t>
                      </w: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522D7" w:rsidRPr="002F1E95" w:rsidRDefault="00C522D7" w:rsidP="00DE5468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Uzupełniająco należy wybrać losow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o</w:t>
                      </w: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próbę projektów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do kontroli</w:t>
                      </w: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522D7" w:rsidRPr="002F1E95" w:rsidRDefault="00C522D7" w:rsidP="00DE5468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</w:p>
                    <w:p w:rsidR="00C522D7" w:rsidRPr="002F1E95" w:rsidRDefault="00C522D7" w:rsidP="00DE5468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W przypadku stwierdzenia problemów na podstawie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kontroli</w:t>
                      </w: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na miejscu losowo wybranej próby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projektów, </w:t>
                      </w:r>
                      <w:r w:rsidRPr="002F1E95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należy zwiększyć próbę w celu ustalenia, czy zbliżone problemy występują w niekontrolowanych projektach.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356E" w:rsidRPr="00767038">
        <w:rPr>
          <w:lang w:val="pl-PL"/>
        </w:rPr>
        <w:t>prawidłowoś</w:t>
      </w:r>
      <w:r w:rsidR="0036196F" w:rsidRPr="00767038">
        <w:rPr>
          <w:lang w:val="pl-PL"/>
        </w:rPr>
        <w:t>ci</w:t>
      </w:r>
      <w:r w:rsidR="00C5356E" w:rsidRPr="00767038">
        <w:rPr>
          <w:lang w:val="pl-PL"/>
        </w:rPr>
        <w:t xml:space="preserve"> informacji dotyczących </w:t>
      </w:r>
      <w:r w:rsidR="0036196F" w:rsidRPr="00767038">
        <w:rPr>
          <w:lang w:val="pl-PL"/>
        </w:rPr>
        <w:t xml:space="preserve">rzeczowej </w:t>
      </w:r>
      <w:r w:rsidR="00C5356E" w:rsidRPr="00767038">
        <w:rPr>
          <w:lang w:val="pl-PL"/>
        </w:rPr>
        <w:t xml:space="preserve">i finansowej realizacji projektu, które zostały podane przez </w:t>
      </w:r>
      <w:r w:rsidR="00AC25C8" w:rsidRPr="00767038">
        <w:rPr>
          <w:lang w:val="pl-PL"/>
        </w:rPr>
        <w:t>beneficjenta</w:t>
      </w:r>
      <w:r w:rsidR="00D44C6E" w:rsidRPr="00767038">
        <w:rPr>
          <w:lang w:val="pl-PL"/>
        </w:rPr>
        <w:t>.</w:t>
      </w:r>
    </w:p>
    <w:p w:rsidR="009B4899" w:rsidRPr="00767038" w:rsidRDefault="00FB2938" w:rsidP="009B4899">
      <w:pPr>
        <w:autoSpaceDE w:val="0"/>
        <w:autoSpaceDN w:val="0"/>
        <w:adjustRightInd w:val="0"/>
        <w:rPr>
          <w:lang w:val="pl-PL"/>
        </w:rPr>
      </w:pPr>
      <w:r>
        <w:rPr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6DC99" wp14:editId="7EA9A87A">
                <wp:simplePos x="0" y="0"/>
                <wp:positionH relativeFrom="column">
                  <wp:posOffset>0</wp:posOffset>
                </wp:positionH>
                <wp:positionV relativeFrom="paragraph">
                  <wp:posOffset>2965450</wp:posOffset>
                </wp:positionV>
                <wp:extent cx="2886075" cy="2345055"/>
                <wp:effectExtent l="0" t="0" r="28575" b="171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34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015BB5" w:rsidRDefault="00C522D7" w:rsidP="007151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18"/>
                                <w:lang w:val="pl-PL"/>
                              </w:rPr>
                            </w:pPr>
                            <w:r w:rsidRPr="00015BB5">
                              <w:rPr>
                                <w:rFonts w:cs="Times New Roman"/>
                                <w:b/>
                                <w:bCs/>
                                <w:sz w:val="18"/>
                                <w:lang w:val="pl-PL"/>
                              </w:rPr>
                              <w:t>Przykład:</w:t>
                            </w:r>
                          </w:p>
                          <w:p w:rsidR="00C522D7" w:rsidRPr="00015BB5" w:rsidRDefault="00C522D7" w:rsidP="007151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</w:pP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Jeżeli 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beneficjentem</w:t>
                            </w: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 jest ministerstw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o</w:t>
                            </w: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 i oddzielny dział 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tego </w:t>
                            </w: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ministerstwa dokonał sprawdzenia wydatków w ramach własnych procedur kontrolnych (tj. przy zachowaniu odpowiedniego rozdziału funkcji), OP może traktować jego wyniki jako zwiększające uzyskaną pewność, będąc nadal odpowiedzialnym za przeprowadzenie weryfikacji. Kontroli przeprowadzanych bezpośrednio przez 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beneficjentów</w:t>
                            </w: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 nie można uznać za równoważne weryfikacjom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/kontrolom</w:t>
                            </w: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, o których mowa w art. 5.6.2 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Regulacji</w:t>
                            </w:r>
                            <w:r w:rsidRPr="00015BB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265F1A" w:rsidRDefault="00C522D7" w:rsidP="007151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</w:pPr>
                          </w:p>
                          <w:p w:rsidR="00C522D7" w:rsidRPr="00265F1A" w:rsidRDefault="00C522D7" w:rsidP="007151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</w:pPr>
                          </w:p>
                          <w:p w:rsidR="00C522D7" w:rsidRPr="00265F1A" w:rsidRDefault="00C522D7" w:rsidP="00715170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233.5pt;width:227.2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" fillcolor="white [3212]" strokecolor="black [3213]">
                <v:textbox>
                  <w:txbxContent>
                    <w:p w:rsidR="00C522D7" w:rsidRPr="00015BB5" w:rsidRDefault="00C522D7" w:rsidP="00715170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18"/>
                          <w:lang w:val="pl-PL"/>
                        </w:rPr>
                      </w:pPr>
                      <w:r w:rsidRPr="00015BB5">
                        <w:rPr>
                          <w:rFonts w:cs="Times New Roman"/>
                          <w:b/>
                          <w:bCs/>
                          <w:sz w:val="18"/>
                          <w:lang w:val="pl-PL"/>
                        </w:rPr>
                        <w:t>Przykład:</w:t>
                      </w:r>
                    </w:p>
                    <w:p w:rsidR="00C522D7" w:rsidRPr="00015BB5" w:rsidRDefault="00C522D7" w:rsidP="00715170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8"/>
                          <w:lang w:val="pl-PL"/>
                        </w:rPr>
                      </w:pP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 xml:space="preserve">Jeżeli 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>beneficjentem</w:t>
                      </w: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 xml:space="preserve"> jest ministerstw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>o</w:t>
                      </w: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 xml:space="preserve"> i oddzielny dział 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 xml:space="preserve">tego </w:t>
                      </w: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 xml:space="preserve">ministerstwa dokonał sprawdzenia wydatków w ramach własnych procedur kontrolnych (tj. przy zachowaniu odpowiedniego rozdziału funkcji), OP może traktować jego wyniki jako zwiększające uzyskaną pewność, będąc nadal odpowiedzialnym za przeprowadzenie weryfikacji. Kontroli przeprowadzanych bezpośrednio przez 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>beneficjentów</w:t>
                      </w: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 xml:space="preserve"> nie można uznać za równoważne weryfikacjom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>/kontrolom</w:t>
                      </w: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 xml:space="preserve">, o których mowa w art. 5.6.2 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>Regulacji</w:t>
                      </w:r>
                      <w:r w:rsidRPr="00015BB5">
                        <w:rPr>
                          <w:rFonts w:cs="Times New Roman"/>
                          <w:sz w:val="18"/>
                          <w:lang w:val="pl-PL"/>
                        </w:rPr>
                        <w:t>.</w:t>
                      </w:r>
                    </w:p>
                    <w:p w:rsidR="00C522D7" w:rsidRPr="00265F1A" w:rsidRDefault="00C522D7" w:rsidP="00715170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8"/>
                          <w:lang w:val="pl-PL"/>
                        </w:rPr>
                      </w:pPr>
                    </w:p>
                    <w:p w:rsidR="00C522D7" w:rsidRPr="00265F1A" w:rsidRDefault="00C522D7" w:rsidP="00715170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8"/>
                          <w:lang w:val="pl-PL"/>
                        </w:rPr>
                      </w:pPr>
                    </w:p>
                    <w:p w:rsidR="00C522D7" w:rsidRPr="00265F1A" w:rsidRDefault="00C522D7" w:rsidP="00715170">
                      <w:pPr>
                        <w:rPr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DB15ACA" wp14:editId="27F4C4A3">
                <wp:simplePos x="0" y="0"/>
                <wp:positionH relativeFrom="column">
                  <wp:posOffset>4752975</wp:posOffset>
                </wp:positionH>
                <wp:positionV relativeFrom="page">
                  <wp:posOffset>7966710</wp:posOffset>
                </wp:positionV>
                <wp:extent cx="255905" cy="417830"/>
                <wp:effectExtent l="0" t="23812" r="25082" b="44133"/>
                <wp:wrapNone/>
                <wp:docPr id="9" name="Chevr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5905" cy="41783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5" o:spid="_x0000_s1026" type="#_x0000_t55" style="position:absolute;margin-left:374.25pt;margin-top:627.3pt;width:20.15pt;height:32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" adj="10800" fillcolor="#c45911 [2405]" strokecolor="#c45911 [2405]">
                <v:path arrowok="t"/>
                <w10:wrap anchory="page"/>
                <w10:anchorlock/>
              </v:shape>
            </w:pict>
          </mc:Fallback>
        </mc:AlternateContent>
      </w:r>
      <w:r w:rsidR="00C5356E" w:rsidRPr="00767038">
        <w:rPr>
          <w:lang w:val="pl-PL"/>
        </w:rPr>
        <w:t xml:space="preserve">Intensywność, częstotliwość i zakres </w:t>
      </w:r>
      <w:r w:rsidR="00AE374B" w:rsidRPr="00767038">
        <w:rPr>
          <w:lang w:val="pl-PL"/>
        </w:rPr>
        <w:t>kontroli</w:t>
      </w:r>
      <w:r w:rsidR="00C5356E" w:rsidRPr="00767038">
        <w:rPr>
          <w:lang w:val="pl-PL"/>
        </w:rPr>
        <w:t xml:space="preserve"> na miejscu powinny odpowiadać </w:t>
      </w:r>
      <w:r w:rsidR="00AE374B" w:rsidRPr="00767038">
        <w:rPr>
          <w:lang w:val="pl-PL"/>
        </w:rPr>
        <w:t xml:space="preserve">wysokości </w:t>
      </w:r>
      <w:r w:rsidR="00C5356E" w:rsidRPr="00767038">
        <w:rPr>
          <w:lang w:val="pl-PL"/>
        </w:rPr>
        <w:t>wsparci</w:t>
      </w:r>
      <w:r w:rsidR="00AE374B" w:rsidRPr="00767038">
        <w:rPr>
          <w:lang w:val="pl-PL"/>
        </w:rPr>
        <w:t>a</w:t>
      </w:r>
      <w:r w:rsidR="00C5356E" w:rsidRPr="00767038">
        <w:rPr>
          <w:lang w:val="pl-PL"/>
        </w:rPr>
        <w:t xml:space="preserve"> finansowe</w:t>
      </w:r>
      <w:r w:rsidR="00AE374B" w:rsidRPr="00767038">
        <w:rPr>
          <w:lang w:val="pl-PL"/>
        </w:rPr>
        <w:t>go</w:t>
      </w:r>
      <w:r w:rsidR="00C5356E" w:rsidRPr="00767038">
        <w:rPr>
          <w:lang w:val="pl-PL"/>
        </w:rPr>
        <w:t xml:space="preserve"> </w:t>
      </w:r>
      <w:r w:rsidR="00AE374B" w:rsidRPr="00767038">
        <w:rPr>
          <w:lang w:val="pl-PL"/>
        </w:rPr>
        <w:t>oraz</w:t>
      </w:r>
      <w:r w:rsidR="00C5356E" w:rsidRPr="00767038">
        <w:rPr>
          <w:lang w:val="pl-PL"/>
        </w:rPr>
        <w:t xml:space="preserve"> zidentyfikowanym ryzykom</w:t>
      </w:r>
      <w:r w:rsidR="00AC7BCF" w:rsidRPr="00767038">
        <w:rPr>
          <w:lang w:val="pl-PL"/>
        </w:rPr>
        <w:t>.</w:t>
      </w:r>
      <w:r w:rsidR="00C5356E" w:rsidRPr="00767038">
        <w:rPr>
          <w:lang w:val="pl-PL"/>
        </w:rPr>
        <w:t xml:space="preserve"> </w:t>
      </w:r>
      <w:r w:rsidR="00AE374B" w:rsidRPr="00767038">
        <w:rPr>
          <w:lang w:val="pl-PL"/>
        </w:rPr>
        <w:t xml:space="preserve">Kontrole </w:t>
      </w:r>
      <w:r w:rsidR="00C5356E" w:rsidRPr="00767038">
        <w:rPr>
          <w:lang w:val="pl-PL"/>
        </w:rPr>
        <w:t>na miejscu można przeprowadzać na zasadzie próbkowania</w:t>
      </w:r>
      <w:r w:rsidR="00AC7BCF" w:rsidRPr="00767038">
        <w:rPr>
          <w:color w:val="000000"/>
          <w:lang w:val="pl-PL"/>
        </w:rPr>
        <w:t>.</w:t>
      </w:r>
      <w:r w:rsidR="00C5356E" w:rsidRPr="00767038">
        <w:rPr>
          <w:color w:val="000000"/>
          <w:lang w:val="pl-PL"/>
        </w:rPr>
        <w:t xml:space="preserve"> W przypadku wyboru projektów do </w:t>
      </w:r>
      <w:r w:rsidR="00AE374B" w:rsidRPr="00767038">
        <w:rPr>
          <w:color w:val="000000"/>
          <w:lang w:val="pl-PL"/>
        </w:rPr>
        <w:t xml:space="preserve">kontroli </w:t>
      </w:r>
      <w:r w:rsidR="00C5356E" w:rsidRPr="00767038">
        <w:rPr>
          <w:color w:val="000000"/>
          <w:lang w:val="pl-PL"/>
        </w:rPr>
        <w:t xml:space="preserve">na miejscu na zasadzie próbkowania </w:t>
      </w:r>
      <w:r w:rsidR="00315981" w:rsidRPr="00767038">
        <w:rPr>
          <w:color w:val="000000"/>
          <w:lang w:val="pl-PL"/>
        </w:rPr>
        <w:t>Operator Programu</w:t>
      </w:r>
      <w:r w:rsidR="00C5356E" w:rsidRPr="00767038">
        <w:rPr>
          <w:color w:val="000000"/>
          <w:lang w:val="pl-PL"/>
        </w:rPr>
        <w:t xml:space="preserve"> prowadzi rejestr zawierający opis i uzasadnienie metody próbkowania i wykaz projektów wybranych do </w:t>
      </w:r>
      <w:r w:rsidR="00AE374B" w:rsidRPr="00767038">
        <w:rPr>
          <w:color w:val="000000"/>
          <w:lang w:val="pl-PL"/>
        </w:rPr>
        <w:t>kontroli</w:t>
      </w:r>
      <w:r w:rsidR="00AC7BCF" w:rsidRPr="00767038">
        <w:rPr>
          <w:color w:val="000000"/>
          <w:lang w:val="pl-PL"/>
        </w:rPr>
        <w:t xml:space="preserve">. </w:t>
      </w:r>
      <w:r w:rsidR="00C5356E" w:rsidRPr="00767038">
        <w:rPr>
          <w:color w:val="000000"/>
          <w:lang w:val="pl-PL"/>
        </w:rPr>
        <w:t>Żadnego projektu nie należy wykluczać z potencjalnej weryfikacji</w:t>
      </w:r>
      <w:r w:rsidR="00AE374B" w:rsidRPr="00767038">
        <w:rPr>
          <w:color w:val="000000"/>
          <w:lang w:val="pl-PL"/>
        </w:rPr>
        <w:t>/kontroli</w:t>
      </w:r>
      <w:r w:rsidR="00C5356E" w:rsidRPr="00767038">
        <w:rPr>
          <w:color w:val="000000"/>
          <w:lang w:val="pl-PL"/>
        </w:rPr>
        <w:t xml:space="preserve"> na miejscu</w:t>
      </w:r>
      <w:r w:rsidR="00AC7BCF" w:rsidRPr="00767038">
        <w:rPr>
          <w:color w:val="000000"/>
          <w:lang w:val="pl-PL"/>
        </w:rPr>
        <w:t xml:space="preserve">. </w:t>
      </w:r>
      <w:r w:rsidR="00315981" w:rsidRPr="00767038">
        <w:rPr>
          <w:color w:val="000000"/>
          <w:lang w:val="pl-PL"/>
        </w:rPr>
        <w:t>Operator Programu</w:t>
      </w:r>
      <w:r w:rsidR="00015BB5" w:rsidRPr="00767038">
        <w:rPr>
          <w:color w:val="000000"/>
          <w:lang w:val="pl-PL"/>
        </w:rPr>
        <w:t xml:space="preserve"> ustala wcześniej s</w:t>
      </w:r>
      <w:r w:rsidR="00015BB5" w:rsidRPr="00767038">
        <w:rPr>
          <w:lang w:val="pl-PL"/>
        </w:rPr>
        <w:t>tosowaną metodologię próbkowania i racjonalny procent projektów do zweryfikowania na miejscu i opisuje ją w SZK</w:t>
      </w:r>
      <w:r w:rsidR="00AC7BCF" w:rsidRPr="00767038">
        <w:rPr>
          <w:lang w:val="pl-PL"/>
        </w:rPr>
        <w:t>.</w:t>
      </w:r>
    </w:p>
    <w:p w:rsidR="00D368BB" w:rsidRPr="00767038" w:rsidRDefault="00D368BB" w:rsidP="00C45897">
      <w:pPr>
        <w:autoSpaceDE w:val="0"/>
        <w:autoSpaceDN w:val="0"/>
        <w:adjustRightInd w:val="0"/>
        <w:rPr>
          <w:color w:val="000000"/>
          <w:lang w:val="pl-PL"/>
        </w:rPr>
      </w:pPr>
    </w:p>
    <w:p w:rsidR="00C45897" w:rsidRPr="00767038" w:rsidRDefault="00015BB5" w:rsidP="00C45897">
      <w:pPr>
        <w:autoSpaceDE w:val="0"/>
        <w:autoSpaceDN w:val="0"/>
        <w:adjustRightInd w:val="0"/>
        <w:rPr>
          <w:noProof/>
          <w:lang w:val="pl-PL"/>
        </w:rPr>
      </w:pPr>
      <w:r w:rsidRPr="00767038">
        <w:rPr>
          <w:color w:val="000000"/>
          <w:lang w:val="pl-PL"/>
        </w:rPr>
        <w:t>W odniesieniu do wyboru pozycji wydatków do zweryfikowania w każdym projekcie</w:t>
      </w:r>
      <w:r w:rsidR="00AE374B" w:rsidRPr="00767038">
        <w:rPr>
          <w:color w:val="000000"/>
          <w:lang w:val="pl-PL"/>
        </w:rPr>
        <w:t xml:space="preserve"> podczas kontroli</w:t>
      </w:r>
      <w:r w:rsidRPr="00767038">
        <w:rPr>
          <w:color w:val="000000"/>
          <w:lang w:val="pl-PL"/>
        </w:rPr>
        <w:t xml:space="preserve"> mają zastosowanie te same zasady jak w przypadku weryfikacji administracyjnych</w:t>
      </w:r>
      <w:r w:rsidR="00C45897" w:rsidRPr="00767038">
        <w:rPr>
          <w:color w:val="000000"/>
          <w:lang w:val="pl-PL"/>
        </w:rPr>
        <w:t>.</w:t>
      </w:r>
    </w:p>
    <w:p w:rsidR="006F3FF9" w:rsidRDefault="00672647" w:rsidP="00812E01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Zasadniczo należy zawiadomić </w:t>
      </w:r>
      <w:r w:rsidR="00AE374B" w:rsidRPr="00767038">
        <w:rPr>
          <w:rFonts w:cs="Times New Roman"/>
          <w:color w:val="000000"/>
          <w:lang w:val="pl-PL"/>
        </w:rPr>
        <w:t xml:space="preserve">beneficjenta </w:t>
      </w:r>
      <w:r w:rsidRPr="00767038">
        <w:rPr>
          <w:rFonts w:cs="Times New Roman"/>
          <w:color w:val="000000"/>
          <w:lang w:val="pl-PL"/>
        </w:rPr>
        <w:t xml:space="preserve">o </w:t>
      </w:r>
      <w:r w:rsidR="00AE374B" w:rsidRPr="00767038">
        <w:rPr>
          <w:rFonts w:cs="Times New Roman"/>
          <w:color w:val="000000"/>
          <w:lang w:val="pl-PL"/>
        </w:rPr>
        <w:t>planowanej kontroli</w:t>
      </w:r>
      <w:r w:rsidRPr="00767038">
        <w:rPr>
          <w:rFonts w:cs="Times New Roman"/>
          <w:color w:val="000000"/>
          <w:lang w:val="pl-PL"/>
        </w:rPr>
        <w:t xml:space="preserve"> na miejscu </w:t>
      </w:r>
      <w:r w:rsidR="00AE374B" w:rsidRPr="00767038">
        <w:rPr>
          <w:rFonts w:cs="Times New Roman"/>
          <w:color w:val="000000"/>
          <w:lang w:val="pl-PL"/>
        </w:rPr>
        <w:t xml:space="preserve">realizacji projektu, </w:t>
      </w:r>
      <w:r w:rsidRPr="00767038">
        <w:rPr>
          <w:rFonts w:cs="Times New Roman"/>
          <w:color w:val="000000"/>
          <w:lang w:val="pl-PL"/>
        </w:rPr>
        <w:t xml:space="preserve">w celu zapewnienia, że w trakcie </w:t>
      </w:r>
      <w:r w:rsidR="00AE374B" w:rsidRPr="00767038">
        <w:rPr>
          <w:rFonts w:cs="Times New Roman"/>
          <w:color w:val="000000"/>
          <w:lang w:val="pl-PL"/>
        </w:rPr>
        <w:t xml:space="preserve">kontroli będzie </w:t>
      </w:r>
      <w:r w:rsidR="00A35E94" w:rsidRPr="00767038">
        <w:rPr>
          <w:rFonts w:cs="Times New Roman"/>
          <w:color w:val="000000"/>
          <w:lang w:val="pl-PL"/>
        </w:rPr>
        <w:t>obecny właściwy</w:t>
      </w:r>
      <w:r w:rsidRPr="00767038">
        <w:rPr>
          <w:rFonts w:cs="Times New Roman"/>
          <w:color w:val="000000"/>
          <w:lang w:val="pl-PL"/>
        </w:rPr>
        <w:t xml:space="preserve"> personel (np. menadżer projektu i księgowy) oraz </w:t>
      </w:r>
      <w:r w:rsidR="00AE374B" w:rsidRPr="00767038">
        <w:rPr>
          <w:rFonts w:cs="Times New Roman"/>
          <w:color w:val="000000"/>
          <w:lang w:val="pl-PL"/>
        </w:rPr>
        <w:t xml:space="preserve">dostępna będzie </w:t>
      </w:r>
      <w:r w:rsidRPr="00767038">
        <w:rPr>
          <w:rFonts w:cs="Times New Roman"/>
          <w:color w:val="000000"/>
          <w:lang w:val="pl-PL"/>
        </w:rPr>
        <w:t xml:space="preserve">dokumentacja (w szczególności rejestry </w:t>
      </w:r>
      <w:r w:rsidR="00CC51A9" w:rsidRPr="00767038">
        <w:rPr>
          <w:rFonts w:cs="Times New Roman"/>
          <w:color w:val="000000"/>
          <w:lang w:val="pl-PL"/>
        </w:rPr>
        <w:t>finansowe</w:t>
      </w:r>
      <w:r w:rsidRPr="00767038">
        <w:rPr>
          <w:rFonts w:cs="Times New Roman"/>
          <w:color w:val="000000"/>
          <w:lang w:val="pl-PL"/>
        </w:rPr>
        <w:t xml:space="preserve"> obejmujące wyciągi bankowe i oryginalne faktury</w:t>
      </w:r>
      <w:r w:rsidR="00AC7BCF" w:rsidRPr="00767038">
        <w:rPr>
          <w:rFonts w:cs="Times New Roman"/>
          <w:color w:val="000000"/>
          <w:lang w:val="pl-PL"/>
        </w:rPr>
        <w:t xml:space="preserve">). </w:t>
      </w:r>
      <w:r w:rsidR="000D024C" w:rsidRPr="00767038">
        <w:rPr>
          <w:rFonts w:cs="Times New Roman"/>
          <w:color w:val="000000"/>
          <w:lang w:val="pl-PL"/>
        </w:rPr>
        <w:t>W określonych przypadkach (np. podejrzenia defraudacji, ryzyka sfałszowania dokumentów itd.</w:t>
      </w:r>
      <w:r w:rsidR="00AC7BCF" w:rsidRPr="00767038">
        <w:rPr>
          <w:rFonts w:cs="Times New Roman"/>
          <w:color w:val="000000"/>
          <w:lang w:val="pl-PL"/>
        </w:rPr>
        <w:t>)</w:t>
      </w:r>
      <w:r w:rsidR="000D024C" w:rsidRPr="00767038">
        <w:rPr>
          <w:rFonts w:cs="Times New Roman"/>
          <w:color w:val="000000"/>
          <w:lang w:val="pl-PL"/>
        </w:rPr>
        <w:t xml:space="preserve"> właściwe może być jednak przeprowadzenie </w:t>
      </w:r>
      <w:r w:rsidR="00AE374B" w:rsidRPr="00767038">
        <w:rPr>
          <w:rFonts w:cs="Times New Roman"/>
          <w:color w:val="000000"/>
          <w:lang w:val="pl-PL"/>
        </w:rPr>
        <w:t xml:space="preserve">kontroli </w:t>
      </w:r>
      <w:r w:rsidR="000D024C" w:rsidRPr="00767038">
        <w:rPr>
          <w:rFonts w:cs="Times New Roman"/>
          <w:color w:val="000000"/>
          <w:lang w:val="pl-PL"/>
        </w:rPr>
        <w:t>na miejscu bez uprzedniego zawiadomienia</w:t>
      </w:r>
      <w:r w:rsidR="00AC7BCF" w:rsidRPr="00767038">
        <w:rPr>
          <w:rFonts w:cs="Times New Roman"/>
          <w:color w:val="000000"/>
          <w:lang w:val="pl-PL"/>
        </w:rPr>
        <w:t>.</w:t>
      </w:r>
    </w:p>
    <w:p w:rsidR="00DF6C58" w:rsidRDefault="00FB2938" w:rsidP="00812E01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285F1A" wp14:editId="4BD569FF">
                <wp:simplePos x="0" y="0"/>
                <wp:positionH relativeFrom="margin">
                  <wp:posOffset>-19050</wp:posOffset>
                </wp:positionH>
                <wp:positionV relativeFrom="paragraph">
                  <wp:posOffset>39370</wp:posOffset>
                </wp:positionV>
                <wp:extent cx="5791200" cy="413385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21529" y="21500"/>
                    <wp:lineTo x="21529" y="0"/>
                    <wp:lineTo x="0" y="0"/>
                  </wp:wrapPolygon>
                </wp:wrapThrough>
                <wp:docPr id="8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41338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2D7" w:rsidRPr="000D024C" w:rsidRDefault="00C522D7" w:rsidP="00AC7BCF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</w:pPr>
                            <w:r w:rsidRPr="000D024C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Czas przeprowadzania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kontroli</w:t>
                            </w:r>
                            <w:r w:rsidRPr="000D024C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 na miejscu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 xml:space="preserve"> realizacji projektu</w:t>
                            </w:r>
                            <w:r w:rsidRPr="000D024C">
                              <w:rPr>
                                <w:b/>
                                <w:bCs/>
                                <w:sz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0D024C" w:rsidRDefault="00C522D7" w:rsidP="00AC7BCF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Na długość c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zas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u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przeprowadzania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kontroli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na miejscu będą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wpływać takie aspekty jak: 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charakter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projektu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, specyficzne cechy projektu, kwota wsparcia publicznego, poziom ryzyka i zakres weryfikacji administracyjnych. Zasadniczo zaleca się przeprowadzanie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kontroli 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przed zakończeniem realizacji projektu w celu umożliwienia podjęcia działań naprawczych w przypadku stwierdzenia problemów i uniknięcia zatwierdzenia nieprawidłowych wydatków. </w:t>
                            </w:r>
                          </w:p>
                          <w:p w:rsidR="00C522D7" w:rsidRPr="000D024C" w:rsidRDefault="00C522D7" w:rsidP="00AC7BCF">
                            <w:pPr>
                              <w:spacing w:before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Kontrole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na miejscu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realizacji projektów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, które przeprowadza się w pierwszym roku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ich wdrażania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, powinny przyczyniać się do zapobieżenia powstawaniu problemów w późniejszych latach.</w:t>
                            </w:r>
                          </w:p>
                          <w:p w:rsidR="00C522D7" w:rsidRPr="000D024C" w:rsidRDefault="00C522D7" w:rsidP="00AC7BCF">
                            <w:pPr>
                              <w:spacing w:before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Zalecany czas przeprowadzania weryfikacji to:</w:t>
                            </w:r>
                          </w:p>
                          <w:p w:rsidR="00C522D7" w:rsidRPr="000D024C" w:rsidRDefault="00C522D7" w:rsidP="00406F10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w przypadku projektów wdrażanych zgodnie z harmonogramem (postęp rzeczowy i finansowy) – standardowo,</w:t>
                            </w:r>
                          </w:p>
                          <w:p w:rsidR="00C522D7" w:rsidRPr="000D024C" w:rsidRDefault="00C522D7" w:rsidP="00406F10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w przypadku projektów o charakterze niematerialnym: w trakcie realizacji projektów w celu potwierdzenia rzeczywistego charakteru działań,</w:t>
                            </w:r>
                          </w:p>
                          <w:p w:rsidR="00C522D7" w:rsidRPr="000D024C" w:rsidRDefault="00C522D7" w:rsidP="00406F10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w przypadku projektów, w których OP zatwierdził całkowitą cenę nabycia składnika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sprzętu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: należy rozważyć dodatkową weryfikację po zakończeniu projektu w celu zweryfikowania zgodności z dodatkowymi zobowiązaniami, o których mowa w art. 8.3.2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Regulacji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</w:p>
                          <w:p w:rsidR="00C522D7" w:rsidRPr="000D024C" w:rsidRDefault="00C522D7" w:rsidP="00406F10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284" w:hanging="284"/>
                              <w:contextualSpacing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w przypadku wieloletnich projektów infrastrukturalnych: przy różnych okazjach, w tym w trakcie wstępnej prewencyjnej wizyty; w trakcie końcowej wizyty po zakończeniu inwestycji w celu zweryfikowania rzeczywistego charakteru projektu.</w:t>
                            </w:r>
                          </w:p>
                          <w:p w:rsidR="00C522D7" w:rsidRPr="000D024C" w:rsidRDefault="00C522D7" w:rsidP="00AC7BCF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Wstępne wizyty mające na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celu zweryfikowani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e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zdolności wnioskodawcy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do realizacji projektu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, nie zastępują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kontroli </w:t>
                            </w:r>
                            <w:r w:rsidRPr="000D024C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na miejscu projektów, które zostały wybrane do dofinansowania.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47" type="#_x0000_t109" style="position:absolute;left:0;text-align:left;margin-left:-1.5pt;margin-top:3.1pt;width:456pt;height:3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" fillcolor="#deeaf6 [660]" stroked="f">
                <v:path arrowok="t"/>
                <v:textbox>
                  <w:txbxContent>
                    <w:p w:rsidR="00C522D7" w:rsidRPr="000D024C" w:rsidRDefault="00C522D7" w:rsidP="00AC7BCF">
                      <w:pPr>
                        <w:jc w:val="left"/>
                        <w:rPr>
                          <w:b/>
                          <w:bCs/>
                          <w:sz w:val="18"/>
                          <w:lang w:val="pl-PL"/>
                        </w:rPr>
                      </w:pPr>
                      <w:r w:rsidRPr="000D024C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Czas przeprowadzania </w:t>
                      </w:r>
                      <w:r>
                        <w:rPr>
                          <w:b/>
                          <w:bCs/>
                          <w:sz w:val="18"/>
                          <w:lang w:val="pl-PL"/>
                        </w:rPr>
                        <w:t>kontroli</w:t>
                      </w:r>
                      <w:r w:rsidRPr="000D024C"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 na miejscu</w:t>
                      </w:r>
                      <w:r>
                        <w:rPr>
                          <w:b/>
                          <w:bCs/>
                          <w:sz w:val="18"/>
                          <w:lang w:val="pl-PL"/>
                        </w:rPr>
                        <w:t xml:space="preserve"> realizacji projektu</w:t>
                      </w:r>
                      <w:r w:rsidRPr="000D024C">
                        <w:rPr>
                          <w:b/>
                          <w:bCs/>
                          <w:sz w:val="18"/>
                          <w:lang w:val="pl-PL"/>
                        </w:rPr>
                        <w:t>:</w:t>
                      </w:r>
                    </w:p>
                    <w:p w:rsidR="00C522D7" w:rsidRPr="000D024C" w:rsidRDefault="00C522D7" w:rsidP="00AC7BCF">
                      <w:pPr>
                        <w:autoSpaceDE w:val="0"/>
                        <w:autoSpaceDN w:val="0"/>
                        <w:adjustRightInd w:val="0"/>
                        <w:spacing w:before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Na długość c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zas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u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przeprowadzania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kontroli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na miejscu będą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wpływać takie aspekty jak: 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charakter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projektu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, specyficzne cechy projektu, kwota wsparcia publicznego, poziom ryzyka i zakres weryfikacji administracyjnych. Zasadniczo zaleca się przeprowadzanie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kontroli 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przed zakończeniem realizacji projektu w celu umożliwienia podjęcia działań naprawczych w przypadku stwierdzenia problemów i uniknięcia zatwierdzenia nieprawidłowych wydatków. </w:t>
                      </w:r>
                    </w:p>
                    <w:p w:rsidR="00C522D7" w:rsidRPr="000D024C" w:rsidRDefault="00C522D7" w:rsidP="00AC7BCF">
                      <w:pPr>
                        <w:spacing w:before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Kontrole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na miejscu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realizacji projektów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, które przeprowadza się w pierwszym roku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ich wdrażania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, powinny przyczyniać się do zapobieżenia powstawaniu problemów w późniejszych latach.</w:t>
                      </w:r>
                    </w:p>
                    <w:p w:rsidR="00C522D7" w:rsidRPr="000D024C" w:rsidRDefault="00C522D7" w:rsidP="00AC7BCF">
                      <w:pPr>
                        <w:spacing w:before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Zalecany czas przeprowadzania weryfikacji to:</w:t>
                      </w:r>
                    </w:p>
                    <w:p w:rsidR="00C522D7" w:rsidRPr="000D024C" w:rsidRDefault="00C522D7" w:rsidP="00406F10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w przypadku projektów wdrażanych zgodnie z harmonogramem (postęp rzeczowy i finansowy) – standardowo,</w:t>
                      </w:r>
                    </w:p>
                    <w:p w:rsidR="00C522D7" w:rsidRPr="000D024C" w:rsidRDefault="00C522D7" w:rsidP="00406F10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w przypadku projektów o charakterze niematerialnym: w trakcie realizacji projektów w celu potwierdzenia rzeczywistego charakteru działań,</w:t>
                      </w:r>
                    </w:p>
                    <w:p w:rsidR="00C522D7" w:rsidRPr="000D024C" w:rsidRDefault="00C522D7" w:rsidP="00406F10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w przypadku projektów, w których OP zatwierdził całkowitą cenę nabycia składnika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sprzętu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: należy rozważyć dodatkową weryfikację po zakończeniu projektu w celu zweryfikowania zgodności z dodatkowymi zobowiązaniami, o których mowa w art. 8.3.2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Regulacji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,</w:t>
                      </w:r>
                    </w:p>
                    <w:p w:rsidR="00C522D7" w:rsidRPr="000D024C" w:rsidRDefault="00C522D7" w:rsidP="00406F10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284" w:hanging="284"/>
                        <w:contextualSpacing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w przypadku wieloletnich projektów infrastrukturalnych: przy różnych okazjach, w tym w trakcie wstępnej prewencyjnej wizyty; w trakcie końcowej wizyty po zakończeniu inwestycji w celu zweryfikowania rzeczywistego charakteru projektu.</w:t>
                      </w:r>
                    </w:p>
                    <w:p w:rsidR="00C522D7" w:rsidRPr="000D024C" w:rsidRDefault="00C522D7" w:rsidP="00AC7BCF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Wstępne wizyty mające na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celu zweryfikowani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e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zdolności wnioskodawcy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do realizacji projektu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, nie zastępują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kontroli </w:t>
                      </w:r>
                      <w:r w:rsidRPr="000D024C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na miejscu projektów, które zostały wybrane do dofinansowania.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0104" w:rsidRPr="00767038" w:rsidRDefault="000564CF" w:rsidP="00A0039A">
      <w:pPr>
        <w:pStyle w:val="Nagwek2"/>
        <w:rPr>
          <w:lang w:val="pl-PL"/>
        </w:rPr>
      </w:pPr>
      <w:bookmarkStart w:id="81" w:name="_Ref462300765"/>
      <w:bookmarkStart w:id="82" w:name="_Toc505238517"/>
      <w:r w:rsidRPr="00767038">
        <w:rPr>
          <w:iCs/>
          <w:lang w:val="pl-PL"/>
        </w:rPr>
        <w:t>Udokumentowanie</w:t>
      </w:r>
      <w:r w:rsidR="000D024C" w:rsidRPr="00767038">
        <w:rPr>
          <w:iCs/>
          <w:lang w:val="pl-PL"/>
        </w:rPr>
        <w:t xml:space="preserve"> wydatków</w:t>
      </w:r>
      <w:r w:rsidR="0087248B" w:rsidRPr="00767038">
        <w:rPr>
          <w:iCs/>
          <w:lang w:val="pl-PL"/>
        </w:rPr>
        <w:t xml:space="preserve"> (</w:t>
      </w:r>
      <w:r w:rsidR="000D024C" w:rsidRPr="00767038">
        <w:rPr>
          <w:iCs/>
          <w:lang w:val="pl-PL"/>
        </w:rPr>
        <w:t>a</w:t>
      </w:r>
      <w:r w:rsidR="0087248B" w:rsidRPr="00767038">
        <w:rPr>
          <w:iCs/>
          <w:lang w:val="pl-PL"/>
        </w:rPr>
        <w:t>rt. 8.12</w:t>
      </w:r>
      <w:r w:rsidR="000D024C"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87248B" w:rsidRPr="00767038">
        <w:rPr>
          <w:iCs/>
          <w:lang w:val="pl-PL"/>
        </w:rPr>
        <w:t>)</w:t>
      </w:r>
      <w:bookmarkEnd w:id="81"/>
      <w:bookmarkEnd w:id="82"/>
    </w:p>
    <w:p w:rsidR="00CD5AD4" w:rsidRPr="00767038" w:rsidRDefault="00CC51A9" w:rsidP="00376576">
      <w:pPr>
        <w:rPr>
          <w:lang w:val="pl-PL"/>
        </w:rPr>
      </w:pPr>
      <w:r w:rsidRPr="00767038">
        <w:rPr>
          <w:lang w:val="pl-PL"/>
        </w:rPr>
        <w:t xml:space="preserve">Zgodnie z podstawową zasadą wszelkie koszty poniesione przez </w:t>
      </w:r>
      <w:r w:rsidR="00315981" w:rsidRPr="00767038">
        <w:rPr>
          <w:lang w:val="pl-PL"/>
        </w:rPr>
        <w:t>Operator</w:t>
      </w:r>
      <w:r w:rsidR="000564CF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, </w:t>
      </w:r>
      <w:r w:rsidR="00AC25C8" w:rsidRPr="00767038">
        <w:rPr>
          <w:lang w:val="pl-PL"/>
        </w:rPr>
        <w:t>beneficjent</w:t>
      </w:r>
      <w:r w:rsidR="000564CF" w:rsidRPr="00767038">
        <w:rPr>
          <w:lang w:val="pl-PL"/>
        </w:rPr>
        <w:t>a</w:t>
      </w:r>
      <w:r w:rsidRPr="00767038">
        <w:rPr>
          <w:lang w:val="pl-PL"/>
        </w:rPr>
        <w:t xml:space="preserve"> i partnerów projektów powinny być udokumentowane </w:t>
      </w:r>
      <w:r w:rsidR="000564CF" w:rsidRPr="00767038">
        <w:rPr>
          <w:lang w:val="pl-PL"/>
        </w:rPr>
        <w:t xml:space="preserve">przy pomocy </w:t>
      </w:r>
      <w:r w:rsidRPr="00767038">
        <w:rPr>
          <w:lang w:val="pl-PL"/>
        </w:rPr>
        <w:t>otrzymany</w:t>
      </w:r>
      <w:r w:rsidR="000564CF" w:rsidRPr="00767038">
        <w:rPr>
          <w:lang w:val="pl-PL"/>
        </w:rPr>
        <w:t>ch</w:t>
      </w:r>
      <w:r w:rsidRPr="00767038">
        <w:rPr>
          <w:lang w:val="pl-PL"/>
        </w:rPr>
        <w:t xml:space="preserve"> faktur lub dokume</w:t>
      </w:r>
      <w:r w:rsidR="001D0157" w:rsidRPr="00767038">
        <w:rPr>
          <w:lang w:val="pl-PL"/>
        </w:rPr>
        <w:t>nt</w:t>
      </w:r>
      <w:r w:rsidR="000564CF" w:rsidRPr="00767038">
        <w:rPr>
          <w:lang w:val="pl-PL"/>
        </w:rPr>
        <w:t>ów</w:t>
      </w:r>
      <w:r w:rsidR="001D0157" w:rsidRPr="00767038">
        <w:rPr>
          <w:lang w:val="pl-PL"/>
        </w:rPr>
        <w:t xml:space="preserve"> księgowy</w:t>
      </w:r>
      <w:r w:rsidR="000564CF" w:rsidRPr="00767038">
        <w:rPr>
          <w:lang w:val="pl-PL"/>
        </w:rPr>
        <w:t>ch</w:t>
      </w:r>
      <w:r w:rsidR="001D0157" w:rsidRPr="00767038">
        <w:rPr>
          <w:lang w:val="pl-PL"/>
        </w:rPr>
        <w:t xml:space="preserve"> o równoważnej </w:t>
      </w:r>
      <w:r w:rsidRPr="00767038">
        <w:rPr>
          <w:lang w:val="pl-PL"/>
        </w:rPr>
        <w:t xml:space="preserve">wartości dowodowej, żeby można było je uznać za kwalifikowalne zgodnie z umową w sprawie dofinansowania </w:t>
      </w:r>
      <w:r w:rsidR="00560C86" w:rsidRPr="00767038">
        <w:rPr>
          <w:lang w:val="pl-PL"/>
        </w:rPr>
        <w:t>(</w:t>
      </w:r>
      <w:r w:rsidRPr="00767038">
        <w:rPr>
          <w:lang w:val="pl-PL"/>
        </w:rPr>
        <w:t>a</w:t>
      </w:r>
      <w:r w:rsidR="00560C86" w:rsidRPr="00767038">
        <w:rPr>
          <w:lang w:val="pl-PL"/>
        </w:rPr>
        <w:t>rt. 8.12.1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560C86" w:rsidRPr="00767038">
        <w:rPr>
          <w:lang w:val="pl-PL"/>
        </w:rPr>
        <w:t xml:space="preserve">). </w:t>
      </w:r>
    </w:p>
    <w:p w:rsidR="009710DB" w:rsidRPr="00767038" w:rsidRDefault="00CC51A9" w:rsidP="00376576">
      <w:pPr>
        <w:rPr>
          <w:lang w:val="pl-PL"/>
        </w:rPr>
      </w:pPr>
      <w:r w:rsidRPr="00767038">
        <w:rPr>
          <w:lang w:val="pl-PL"/>
        </w:rPr>
        <w:t xml:space="preserve">Nie oznacza to jednak, że </w:t>
      </w:r>
      <w:r w:rsidR="00315981" w:rsidRPr="00767038">
        <w:rPr>
          <w:lang w:val="pl-PL"/>
        </w:rPr>
        <w:t>Operator Programu</w:t>
      </w:r>
      <w:r w:rsidR="00F2006A" w:rsidRPr="00767038">
        <w:rPr>
          <w:lang w:val="pl-PL"/>
        </w:rPr>
        <w:t xml:space="preserve"> jest zobowiązany do stworzenia systemu, w którym wszystkie faktury lub dokumenty księgowe będą obowiązkowo przesyłane w chwili przesłania przez </w:t>
      </w:r>
      <w:r w:rsidR="00AC25C8" w:rsidRPr="00767038">
        <w:rPr>
          <w:lang w:val="pl-PL"/>
        </w:rPr>
        <w:t>beneficjenta</w:t>
      </w:r>
      <w:r w:rsidR="00F2006A" w:rsidRPr="00767038">
        <w:rPr>
          <w:lang w:val="pl-PL"/>
        </w:rPr>
        <w:t xml:space="preserve"> raportu finansowego</w:t>
      </w:r>
      <w:r w:rsidR="009710DB" w:rsidRPr="00767038">
        <w:rPr>
          <w:lang w:val="pl-PL"/>
        </w:rPr>
        <w:t xml:space="preserve">. </w:t>
      </w:r>
      <w:r w:rsidR="000564CF" w:rsidRPr="00767038">
        <w:rPr>
          <w:lang w:val="pl-PL"/>
        </w:rPr>
        <w:t xml:space="preserve">Regulacje </w:t>
      </w:r>
      <w:r w:rsidR="00F2006A" w:rsidRPr="00767038">
        <w:rPr>
          <w:lang w:val="pl-PL"/>
        </w:rPr>
        <w:t xml:space="preserve">zobowiązują </w:t>
      </w:r>
      <w:r w:rsidR="00315981" w:rsidRPr="00767038">
        <w:rPr>
          <w:lang w:val="pl-PL"/>
        </w:rPr>
        <w:t>Operator</w:t>
      </w:r>
      <w:r w:rsidR="000564CF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F2006A" w:rsidRPr="00767038">
        <w:rPr>
          <w:lang w:val="pl-PL"/>
        </w:rPr>
        <w:t xml:space="preserve"> do stworzenia systemu i mechanizmu kontroli, które będą zapewniać wystarczający poziom kontroli nad wydatkami, które ponosi </w:t>
      </w:r>
      <w:r w:rsidR="00AC25C8" w:rsidRPr="00767038">
        <w:rPr>
          <w:lang w:val="pl-PL"/>
        </w:rPr>
        <w:t>beneficjent</w:t>
      </w:r>
      <w:r w:rsidR="00F2006A" w:rsidRPr="00767038">
        <w:rPr>
          <w:lang w:val="pl-PL"/>
        </w:rPr>
        <w:t xml:space="preserve"> lub partner</w:t>
      </w:r>
      <w:r w:rsidR="009710DB" w:rsidRPr="00767038">
        <w:rPr>
          <w:lang w:val="pl-PL"/>
        </w:rPr>
        <w:t xml:space="preserve">. </w:t>
      </w:r>
      <w:r w:rsidR="00F2006A" w:rsidRPr="00767038">
        <w:rPr>
          <w:lang w:val="pl-PL"/>
        </w:rPr>
        <w:t xml:space="preserve">Wymóg ten zapewnia jednak rozsądną dozę elastyczności pod warunkiem </w:t>
      </w:r>
      <w:r w:rsidR="00F2006A" w:rsidRPr="00767038">
        <w:rPr>
          <w:lang w:val="pl-PL"/>
        </w:rPr>
        <w:lastRenderedPageBreak/>
        <w:t>spełnienia określonych warunków podstawowych</w:t>
      </w:r>
      <w:r w:rsidR="009710DB" w:rsidRPr="00767038">
        <w:rPr>
          <w:lang w:val="pl-PL"/>
        </w:rPr>
        <w:t xml:space="preserve">. </w:t>
      </w:r>
      <w:r w:rsidR="00315981" w:rsidRPr="00767038">
        <w:rPr>
          <w:lang w:val="pl-PL"/>
        </w:rPr>
        <w:t>Operator Programu</w:t>
      </w:r>
      <w:r w:rsidR="00F2006A" w:rsidRPr="00767038">
        <w:rPr>
          <w:lang w:val="pl-PL"/>
        </w:rPr>
        <w:t xml:space="preserve"> powinien wziąć pod uwagę</w:t>
      </w:r>
      <w:r w:rsidR="000564CF" w:rsidRPr="00767038">
        <w:rPr>
          <w:lang w:val="pl-PL"/>
        </w:rPr>
        <w:t xml:space="preserve"> zasadę</w:t>
      </w:r>
      <w:r w:rsidR="00F2006A" w:rsidRPr="00767038">
        <w:rPr>
          <w:lang w:val="pl-PL"/>
        </w:rPr>
        <w:t xml:space="preserve"> proporcjonalnoś</w:t>
      </w:r>
      <w:r w:rsidR="000564CF" w:rsidRPr="00767038">
        <w:rPr>
          <w:lang w:val="pl-PL"/>
        </w:rPr>
        <w:t>ci</w:t>
      </w:r>
      <w:r w:rsidR="00F2006A" w:rsidRPr="00767038">
        <w:rPr>
          <w:lang w:val="pl-PL"/>
        </w:rPr>
        <w:t xml:space="preserve"> (np. koszt</w:t>
      </w:r>
      <w:r w:rsidR="000564CF" w:rsidRPr="00767038">
        <w:rPr>
          <w:lang w:val="pl-PL"/>
        </w:rPr>
        <w:t>ów</w:t>
      </w:r>
      <w:r w:rsidR="00F2006A" w:rsidRPr="00767038">
        <w:rPr>
          <w:lang w:val="pl-PL"/>
        </w:rPr>
        <w:t xml:space="preserve"> audytu </w:t>
      </w:r>
      <w:r w:rsidR="000564CF" w:rsidRPr="00767038">
        <w:rPr>
          <w:lang w:val="pl-PL"/>
        </w:rPr>
        <w:t>w odniesieniu do</w:t>
      </w:r>
      <w:r w:rsidR="00F2006A" w:rsidRPr="00767038">
        <w:rPr>
          <w:lang w:val="pl-PL"/>
        </w:rPr>
        <w:t xml:space="preserve"> poniesionych wydatków podlegających </w:t>
      </w:r>
      <w:r w:rsidR="000564CF" w:rsidRPr="00767038">
        <w:rPr>
          <w:lang w:val="pl-PL"/>
        </w:rPr>
        <w:t>certyfikacji</w:t>
      </w:r>
      <w:r w:rsidR="009710DB" w:rsidRPr="00767038">
        <w:rPr>
          <w:lang w:val="pl-PL"/>
        </w:rPr>
        <w:t xml:space="preserve">) </w:t>
      </w:r>
      <w:r w:rsidR="00F2006A" w:rsidRPr="00767038">
        <w:rPr>
          <w:lang w:val="pl-PL"/>
        </w:rPr>
        <w:t>i żądać odpowiednio dowodów poniesienia wydatków (np. raz w roku</w:t>
      </w:r>
      <w:r w:rsidR="009710DB" w:rsidRPr="00767038">
        <w:rPr>
          <w:lang w:val="pl-PL"/>
        </w:rPr>
        <w:t>).</w:t>
      </w:r>
    </w:p>
    <w:p w:rsidR="000D7D0D" w:rsidRPr="00767038" w:rsidRDefault="00492E1B" w:rsidP="00376576">
      <w:pPr>
        <w:rPr>
          <w:lang w:val="pl-PL"/>
        </w:rPr>
      </w:pPr>
      <w:r w:rsidRPr="00767038">
        <w:rPr>
          <w:lang w:val="pl-PL"/>
        </w:rPr>
        <w:t xml:space="preserve">W </w:t>
      </w:r>
      <w:r w:rsidR="002E66AA" w:rsidRPr="00767038">
        <w:rPr>
          <w:lang w:val="pl-PL"/>
        </w:rPr>
        <w:t>celu udokumentowania</w:t>
      </w:r>
      <w:r w:rsidRPr="00767038">
        <w:rPr>
          <w:lang w:val="pl-PL"/>
        </w:rPr>
        <w:t xml:space="preserve"> wydatków</w:t>
      </w:r>
      <w:r w:rsidR="000564CF" w:rsidRPr="00767038">
        <w:rPr>
          <w:lang w:val="pl-PL"/>
        </w:rPr>
        <w:t>,</w:t>
      </w:r>
      <w:r w:rsidRPr="00767038">
        <w:rPr>
          <w:lang w:val="pl-PL"/>
        </w:rPr>
        <w:t xml:space="preserve"> </w:t>
      </w:r>
      <w:r w:rsidR="00AC25C8" w:rsidRPr="00767038">
        <w:rPr>
          <w:lang w:val="pl-PL"/>
        </w:rPr>
        <w:t>beneficjent</w:t>
      </w:r>
      <w:r w:rsidRPr="00767038">
        <w:rPr>
          <w:lang w:val="pl-PL"/>
        </w:rPr>
        <w:t xml:space="preserve"> i partnerzy projektów mogą także </w:t>
      </w:r>
      <w:r w:rsidR="002E66AA" w:rsidRPr="00767038">
        <w:rPr>
          <w:lang w:val="pl-PL"/>
        </w:rPr>
        <w:t xml:space="preserve">zdecydować o przedłożeniu </w:t>
      </w:r>
      <w:r w:rsidRPr="00767038">
        <w:rPr>
          <w:lang w:val="pl-PL"/>
        </w:rPr>
        <w:t>raport</w:t>
      </w:r>
      <w:r w:rsidR="002E66AA" w:rsidRPr="00767038">
        <w:rPr>
          <w:lang w:val="pl-PL"/>
        </w:rPr>
        <w:t>u</w:t>
      </w:r>
      <w:r w:rsidRPr="00767038">
        <w:rPr>
          <w:lang w:val="pl-PL"/>
        </w:rPr>
        <w:t xml:space="preserve"> niezależnego audytora, posiada</w:t>
      </w:r>
      <w:r w:rsidR="000564CF" w:rsidRPr="00767038">
        <w:rPr>
          <w:lang w:val="pl-PL"/>
        </w:rPr>
        <w:t>jącego</w:t>
      </w:r>
      <w:r w:rsidRPr="00767038">
        <w:rPr>
          <w:lang w:val="pl-PL"/>
        </w:rPr>
        <w:t xml:space="preserve"> kwalifikacje do przeprowadzania ustawowych </w:t>
      </w:r>
      <w:r w:rsidR="000564CF" w:rsidRPr="00767038">
        <w:rPr>
          <w:lang w:val="pl-PL"/>
        </w:rPr>
        <w:t xml:space="preserve">kontroli </w:t>
      </w:r>
      <w:r w:rsidRPr="00767038">
        <w:rPr>
          <w:lang w:val="pl-PL"/>
        </w:rPr>
        <w:t>dokumentów księgowych</w:t>
      </w:r>
      <w:r w:rsidR="00A02F6D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Można także </w:t>
      </w:r>
      <w:r w:rsidR="002E66AA" w:rsidRPr="00767038">
        <w:rPr>
          <w:lang w:val="pl-PL"/>
        </w:rPr>
        <w:t>przedłożyć</w:t>
      </w:r>
      <w:r w:rsidRPr="00767038">
        <w:rPr>
          <w:lang w:val="pl-PL"/>
        </w:rPr>
        <w:t xml:space="preserve"> </w:t>
      </w:r>
      <w:r w:rsidR="002E66AA" w:rsidRPr="00767038">
        <w:rPr>
          <w:lang w:val="pl-PL"/>
        </w:rPr>
        <w:t xml:space="preserve">certyfikat </w:t>
      </w:r>
      <w:r w:rsidRPr="00767038">
        <w:rPr>
          <w:lang w:val="pl-PL"/>
        </w:rPr>
        <w:t>wydan</w:t>
      </w:r>
      <w:r w:rsidR="002E66AA" w:rsidRPr="00767038">
        <w:rPr>
          <w:lang w:val="pl-PL"/>
        </w:rPr>
        <w:t>y</w:t>
      </w:r>
      <w:r w:rsidRPr="00767038">
        <w:rPr>
          <w:lang w:val="pl-PL"/>
        </w:rPr>
        <w:t xml:space="preserve"> przez </w:t>
      </w:r>
      <w:r w:rsidR="002E66AA" w:rsidRPr="00767038">
        <w:rPr>
          <w:lang w:val="pl-PL"/>
        </w:rPr>
        <w:t xml:space="preserve">kompetentnego </w:t>
      </w:r>
      <w:r w:rsidRPr="00767038">
        <w:rPr>
          <w:lang w:val="pl-PL"/>
        </w:rPr>
        <w:t xml:space="preserve">i niezależnego </w:t>
      </w:r>
      <w:r w:rsidR="002E66AA" w:rsidRPr="00767038">
        <w:rPr>
          <w:lang w:val="pl-PL"/>
        </w:rPr>
        <w:t>funkcjonariusza</w:t>
      </w:r>
      <w:r w:rsidRPr="00767038">
        <w:rPr>
          <w:lang w:val="pl-PL"/>
        </w:rPr>
        <w:t xml:space="preserve"> publicznego</w:t>
      </w:r>
      <w:r w:rsidR="00A02F6D" w:rsidRPr="00767038">
        <w:rPr>
          <w:lang w:val="pl-PL"/>
        </w:rPr>
        <w:t>.</w:t>
      </w:r>
      <w:r w:rsidR="00A02F6D" w:rsidRPr="00767038">
        <w:rPr>
          <w:rStyle w:val="Odwoanieprzypisudolnego"/>
          <w:lang w:val="pl-PL"/>
        </w:rPr>
        <w:footnoteReference w:id="17"/>
      </w:r>
      <w:r w:rsidR="002E66AA" w:rsidRPr="00767038">
        <w:rPr>
          <w:lang w:val="pl-PL"/>
        </w:rPr>
        <w:t>Funkcjonariusz ten</w:t>
      </w:r>
      <w:r w:rsidR="00095228" w:rsidRPr="00767038">
        <w:rPr>
          <w:lang w:val="pl-PL"/>
        </w:rPr>
        <w:t xml:space="preserve"> powin</w:t>
      </w:r>
      <w:r w:rsidR="002E66AA" w:rsidRPr="00767038">
        <w:rPr>
          <w:lang w:val="pl-PL"/>
        </w:rPr>
        <w:t>ien</w:t>
      </w:r>
      <w:r w:rsidR="00095228" w:rsidRPr="00767038">
        <w:rPr>
          <w:lang w:val="pl-PL"/>
        </w:rPr>
        <w:t xml:space="preserve"> </w:t>
      </w:r>
      <w:r w:rsidR="002E66AA" w:rsidRPr="00767038">
        <w:rPr>
          <w:lang w:val="pl-PL"/>
        </w:rPr>
        <w:t xml:space="preserve">być </w:t>
      </w:r>
      <w:r w:rsidR="00095228" w:rsidRPr="00767038">
        <w:rPr>
          <w:lang w:val="pl-PL"/>
        </w:rPr>
        <w:t>uzna</w:t>
      </w:r>
      <w:r w:rsidR="002E66AA" w:rsidRPr="00767038">
        <w:rPr>
          <w:lang w:val="pl-PL"/>
        </w:rPr>
        <w:t>ny</w:t>
      </w:r>
      <w:r w:rsidR="00095228" w:rsidRPr="00767038">
        <w:rPr>
          <w:lang w:val="pl-PL"/>
        </w:rPr>
        <w:t xml:space="preserve"> </w:t>
      </w:r>
      <w:r w:rsidR="002E66AA" w:rsidRPr="00767038">
        <w:rPr>
          <w:lang w:val="pl-PL"/>
        </w:rPr>
        <w:t xml:space="preserve">przez </w:t>
      </w:r>
      <w:r w:rsidR="00095228" w:rsidRPr="00767038">
        <w:rPr>
          <w:lang w:val="pl-PL"/>
        </w:rPr>
        <w:t xml:space="preserve">właściwe władze krajowe </w:t>
      </w:r>
      <w:r w:rsidR="002E66AA" w:rsidRPr="00767038">
        <w:rPr>
          <w:lang w:val="pl-PL"/>
        </w:rPr>
        <w:t>za</w:t>
      </w:r>
      <w:r w:rsidR="00095228" w:rsidRPr="00767038">
        <w:rPr>
          <w:lang w:val="pl-PL"/>
        </w:rPr>
        <w:t xml:space="preserve"> posiadającego budżet i </w:t>
      </w:r>
      <w:r w:rsidR="002E66AA" w:rsidRPr="00767038">
        <w:rPr>
          <w:lang w:val="pl-PL"/>
        </w:rPr>
        <w:t>potencjał w zakresie</w:t>
      </w:r>
      <w:r w:rsidR="00095228" w:rsidRPr="00767038">
        <w:rPr>
          <w:lang w:val="pl-PL"/>
        </w:rPr>
        <w:t xml:space="preserve"> kontroli finansowej </w:t>
      </w:r>
      <w:r w:rsidR="00616F78" w:rsidRPr="00767038">
        <w:rPr>
          <w:lang w:val="pl-PL"/>
        </w:rPr>
        <w:t xml:space="preserve">podmiotu </w:t>
      </w:r>
      <w:r w:rsidR="00095228" w:rsidRPr="00767038">
        <w:rPr>
          <w:lang w:val="pl-PL"/>
        </w:rPr>
        <w:t>ponoszące</w:t>
      </w:r>
      <w:r w:rsidR="00616F78" w:rsidRPr="00767038">
        <w:rPr>
          <w:lang w:val="pl-PL"/>
        </w:rPr>
        <w:t>go</w:t>
      </w:r>
      <w:r w:rsidR="00095228" w:rsidRPr="00767038">
        <w:rPr>
          <w:lang w:val="pl-PL"/>
        </w:rPr>
        <w:t xml:space="preserve"> koszty</w:t>
      </w:r>
      <w:r w:rsidR="00A02F6D" w:rsidRPr="00767038">
        <w:rPr>
          <w:lang w:val="pl-PL"/>
        </w:rPr>
        <w:t xml:space="preserve">. </w:t>
      </w:r>
      <w:r w:rsidR="00095228" w:rsidRPr="00767038">
        <w:rPr>
          <w:lang w:val="pl-PL"/>
        </w:rPr>
        <w:t>Taki urzędnik powinien być także niezależny, co oznacza, że nie powinien był być zaangażowany w przygotowanie sprawozdań finansowych (raportów finansowych)</w:t>
      </w:r>
      <w:r w:rsidR="00A02F6D" w:rsidRPr="00767038">
        <w:rPr>
          <w:lang w:val="pl-PL"/>
        </w:rPr>
        <w:t>.</w:t>
      </w:r>
      <w:r w:rsidR="00095228" w:rsidRPr="00767038">
        <w:rPr>
          <w:lang w:val="pl-PL"/>
        </w:rPr>
        <w:t xml:space="preserve"> Zadaniem audytora lub </w:t>
      </w:r>
      <w:r w:rsidR="00616F78" w:rsidRPr="00767038">
        <w:rPr>
          <w:lang w:val="pl-PL"/>
        </w:rPr>
        <w:t xml:space="preserve">funkcjonariusza </w:t>
      </w:r>
      <w:r w:rsidR="00095228" w:rsidRPr="00767038">
        <w:rPr>
          <w:lang w:val="pl-PL"/>
        </w:rPr>
        <w:t xml:space="preserve">publicznego jest poświadczenie, że </w:t>
      </w:r>
      <w:r w:rsidR="00616F78" w:rsidRPr="00767038">
        <w:rPr>
          <w:lang w:val="pl-PL"/>
        </w:rPr>
        <w:t xml:space="preserve">deklarowane </w:t>
      </w:r>
      <w:r w:rsidR="00095228" w:rsidRPr="00767038">
        <w:rPr>
          <w:lang w:val="pl-PL"/>
        </w:rPr>
        <w:t xml:space="preserve">koszty zostały poniesione zgodnie z </w:t>
      </w:r>
      <w:r w:rsidR="00616F78" w:rsidRPr="00767038">
        <w:rPr>
          <w:lang w:val="pl-PL"/>
        </w:rPr>
        <w:t>Regulacjami</w:t>
      </w:r>
      <w:r w:rsidR="00095228" w:rsidRPr="00767038">
        <w:rPr>
          <w:lang w:val="pl-PL"/>
        </w:rPr>
        <w:t xml:space="preserve">, prawem </w:t>
      </w:r>
      <w:r w:rsidR="00616F78" w:rsidRPr="00767038">
        <w:rPr>
          <w:lang w:val="pl-PL"/>
        </w:rPr>
        <w:t xml:space="preserve">i </w:t>
      </w:r>
      <w:r w:rsidR="00A35E94" w:rsidRPr="00767038">
        <w:rPr>
          <w:lang w:val="pl-PL"/>
        </w:rPr>
        <w:t>krajowymi praktykami</w:t>
      </w:r>
      <w:r w:rsidR="00616F78" w:rsidRPr="00767038">
        <w:rPr>
          <w:lang w:val="pl-PL"/>
        </w:rPr>
        <w:t xml:space="preserve"> w zakresie</w:t>
      </w:r>
      <w:r w:rsidR="00095228" w:rsidRPr="00767038">
        <w:rPr>
          <w:lang w:val="pl-PL"/>
        </w:rPr>
        <w:t xml:space="preserve"> rachunkowości</w:t>
      </w:r>
      <w:r w:rsidR="00A02F6D" w:rsidRPr="00767038">
        <w:rPr>
          <w:lang w:val="pl-PL"/>
        </w:rPr>
        <w:t>.</w:t>
      </w:r>
      <w:r w:rsidR="00095228" w:rsidRPr="00767038">
        <w:rPr>
          <w:lang w:val="pl-PL"/>
        </w:rPr>
        <w:t xml:space="preserve"> Taki raport powinien zostać przyjęty jako wystarczający dowód poniesienia wydatków i przesłany do </w:t>
      </w:r>
      <w:r w:rsidR="00315981" w:rsidRPr="00767038">
        <w:rPr>
          <w:lang w:val="pl-PL"/>
        </w:rPr>
        <w:t>Operator</w:t>
      </w:r>
      <w:r w:rsidR="00616F78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A02F6D" w:rsidRPr="00767038">
        <w:rPr>
          <w:lang w:val="pl-PL"/>
        </w:rPr>
        <w:t xml:space="preserve">. </w:t>
      </w:r>
      <w:r w:rsidR="00095228" w:rsidRPr="00767038">
        <w:rPr>
          <w:lang w:val="pl-PL"/>
        </w:rPr>
        <w:t xml:space="preserve">Należy także zauważyć, że </w:t>
      </w:r>
      <w:r w:rsidR="00315981" w:rsidRPr="00767038">
        <w:rPr>
          <w:lang w:val="pl-PL"/>
        </w:rPr>
        <w:t>Operator Programu</w:t>
      </w:r>
      <w:r w:rsidR="00095228" w:rsidRPr="00767038">
        <w:rPr>
          <w:lang w:val="pl-PL"/>
        </w:rPr>
        <w:t xml:space="preserve"> może zdecydować o zastosowaniu takiej opcji </w:t>
      </w:r>
      <w:r w:rsidR="00616F78" w:rsidRPr="00767038">
        <w:rPr>
          <w:lang w:val="pl-PL"/>
        </w:rPr>
        <w:t xml:space="preserve">udokumentowania wydatków </w:t>
      </w:r>
      <w:r w:rsidR="00095228" w:rsidRPr="00767038">
        <w:rPr>
          <w:lang w:val="pl-PL"/>
        </w:rPr>
        <w:t xml:space="preserve">wyłącznie w </w:t>
      </w:r>
      <w:r w:rsidR="00616F78" w:rsidRPr="00767038">
        <w:rPr>
          <w:lang w:val="pl-PL"/>
        </w:rPr>
        <w:t>odniesieniu do</w:t>
      </w:r>
      <w:r w:rsidR="00095228" w:rsidRPr="00767038">
        <w:rPr>
          <w:lang w:val="pl-PL"/>
        </w:rPr>
        <w:t xml:space="preserve"> partnerów projektów, którzy działają w innym </w:t>
      </w:r>
      <w:r w:rsidR="00616F78" w:rsidRPr="00767038">
        <w:rPr>
          <w:lang w:val="pl-PL"/>
        </w:rPr>
        <w:t>Państwie-Beneficjencie</w:t>
      </w:r>
      <w:r w:rsidR="00095228" w:rsidRPr="00767038">
        <w:rPr>
          <w:lang w:val="pl-PL"/>
        </w:rPr>
        <w:t xml:space="preserve"> lub </w:t>
      </w:r>
      <w:r w:rsidR="00616F78" w:rsidRPr="00767038">
        <w:rPr>
          <w:lang w:val="pl-PL"/>
        </w:rPr>
        <w:t>P</w:t>
      </w:r>
      <w:r w:rsidR="00095228" w:rsidRPr="00767038">
        <w:rPr>
          <w:lang w:val="pl-PL"/>
        </w:rPr>
        <w:t>aństwie-</w:t>
      </w:r>
      <w:r w:rsidR="00616F78" w:rsidRPr="00767038">
        <w:rPr>
          <w:lang w:val="pl-PL"/>
        </w:rPr>
        <w:t>D</w:t>
      </w:r>
      <w:r w:rsidR="00095228" w:rsidRPr="00767038">
        <w:rPr>
          <w:lang w:val="pl-PL"/>
        </w:rPr>
        <w:t>arczyńcy lub są organizacjami międzyrządowymi</w:t>
      </w:r>
      <w:r w:rsidR="00A02F6D" w:rsidRPr="00767038">
        <w:rPr>
          <w:lang w:val="pl-PL"/>
        </w:rPr>
        <w:t xml:space="preserve">. </w:t>
      </w:r>
      <w:r w:rsidR="008211CA" w:rsidRPr="00767038">
        <w:rPr>
          <w:lang w:val="pl-PL"/>
        </w:rPr>
        <w:t xml:space="preserve">Oznacza to, że </w:t>
      </w:r>
      <w:r w:rsidR="00AC25C8" w:rsidRPr="00767038">
        <w:rPr>
          <w:lang w:val="pl-PL"/>
        </w:rPr>
        <w:t>beneficjen</w:t>
      </w:r>
      <w:r w:rsidR="00616F78" w:rsidRPr="00767038">
        <w:rPr>
          <w:lang w:val="pl-PL"/>
        </w:rPr>
        <w:t>ci</w:t>
      </w:r>
      <w:r w:rsidR="008211CA" w:rsidRPr="00767038">
        <w:rPr>
          <w:lang w:val="pl-PL"/>
        </w:rPr>
        <w:t xml:space="preserve"> i partnerzy projektów w danym </w:t>
      </w:r>
      <w:r w:rsidR="00616F78" w:rsidRPr="00767038">
        <w:rPr>
          <w:lang w:val="pl-PL"/>
        </w:rPr>
        <w:t>Państwie-Beneficjencie</w:t>
      </w:r>
      <w:r w:rsidR="008211CA" w:rsidRPr="00767038">
        <w:rPr>
          <w:lang w:val="pl-PL"/>
        </w:rPr>
        <w:t xml:space="preserve"> powinni przesłać dodatkowe dokumenty i nie powinni mieć możliwości przesłania </w:t>
      </w:r>
      <w:r w:rsidR="00616F78" w:rsidRPr="00767038">
        <w:rPr>
          <w:lang w:val="pl-PL"/>
        </w:rPr>
        <w:t xml:space="preserve">ww. </w:t>
      </w:r>
      <w:r w:rsidR="008211CA" w:rsidRPr="00767038">
        <w:rPr>
          <w:lang w:val="pl-PL"/>
        </w:rPr>
        <w:t>raportu w ich miejsce</w:t>
      </w:r>
      <w:r w:rsidR="00A02F6D" w:rsidRPr="00767038">
        <w:rPr>
          <w:lang w:val="pl-PL"/>
        </w:rPr>
        <w:t xml:space="preserve">. </w:t>
      </w:r>
    </w:p>
    <w:p w:rsidR="009710DB" w:rsidRPr="00767038" w:rsidRDefault="008211CA" w:rsidP="00376576">
      <w:pPr>
        <w:rPr>
          <w:lang w:val="pl-PL"/>
        </w:rPr>
      </w:pPr>
      <w:r w:rsidRPr="00767038">
        <w:rPr>
          <w:lang w:val="pl-PL"/>
        </w:rPr>
        <w:t>Dokumenty dodatkowe należy przechowywać i powinny być one dostępne, nawet jeżeli nie wymaga się ich przesłania wraz z pojedynczym raportem finansowym</w:t>
      </w:r>
      <w:r w:rsidR="000D7D0D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Ma to zapewnić właściwą ścieżkę audytu w celu śledzenia </w:t>
      </w:r>
      <w:r w:rsidR="00AE18AE" w:rsidRPr="00767038">
        <w:rPr>
          <w:lang w:val="pl-PL"/>
        </w:rPr>
        <w:t>wykorzystania środków pienięż</w:t>
      </w:r>
      <w:r w:rsidRPr="00767038">
        <w:rPr>
          <w:lang w:val="pl-PL"/>
        </w:rPr>
        <w:t>nych.</w:t>
      </w:r>
      <w:r w:rsidR="00B642BD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Dowody </w:t>
      </w:r>
      <w:r w:rsidR="00AE18AE" w:rsidRPr="00767038">
        <w:rPr>
          <w:lang w:val="pl-PL"/>
        </w:rPr>
        <w:t>są</w:t>
      </w:r>
      <w:r w:rsidRPr="00767038">
        <w:rPr>
          <w:lang w:val="pl-PL"/>
        </w:rPr>
        <w:t xml:space="preserve"> także niezbędne w przypadku przeprowadzania audytów programów lub projektów</w:t>
      </w:r>
      <w:r w:rsidR="000D7D0D" w:rsidRPr="00767038">
        <w:rPr>
          <w:lang w:val="pl-PL"/>
        </w:rPr>
        <w:t xml:space="preserve">. </w:t>
      </w:r>
    </w:p>
    <w:p w:rsidR="00432767" w:rsidRPr="00767038" w:rsidRDefault="008211CA" w:rsidP="00376576">
      <w:pPr>
        <w:rPr>
          <w:lang w:val="pl-PL"/>
        </w:rPr>
      </w:pPr>
      <w:r w:rsidRPr="00767038">
        <w:rPr>
          <w:lang w:val="pl-PL"/>
        </w:rPr>
        <w:t xml:space="preserve">W przypadku kosztów </w:t>
      </w:r>
      <w:r w:rsidR="000D5B8D" w:rsidRPr="00767038">
        <w:rPr>
          <w:lang w:val="pl-PL"/>
        </w:rPr>
        <w:t xml:space="preserve">stałych, </w:t>
      </w:r>
      <w:r w:rsidRPr="00767038">
        <w:rPr>
          <w:lang w:val="pl-PL"/>
        </w:rPr>
        <w:t>ryczałtów i koszt</w:t>
      </w:r>
      <w:r w:rsidR="000D5B8D" w:rsidRPr="00767038">
        <w:rPr>
          <w:lang w:val="pl-PL"/>
        </w:rPr>
        <w:t xml:space="preserve">ów jednostkowych koszty nie muszą być dokumentowane </w:t>
      </w:r>
      <w:r w:rsidR="00AE18AE" w:rsidRPr="00767038">
        <w:rPr>
          <w:lang w:val="pl-PL"/>
        </w:rPr>
        <w:t>fakturami</w:t>
      </w:r>
      <w:r w:rsidR="000D5B8D" w:rsidRPr="00767038">
        <w:rPr>
          <w:lang w:val="pl-PL"/>
        </w:rPr>
        <w:t xml:space="preserve"> lub dokumentami księgowymi </w:t>
      </w:r>
      <w:r w:rsidR="009710DB" w:rsidRPr="00767038">
        <w:rPr>
          <w:lang w:val="pl-PL"/>
        </w:rPr>
        <w:t>(</w:t>
      </w:r>
      <w:r w:rsidR="000D5B8D" w:rsidRPr="00767038">
        <w:rPr>
          <w:lang w:val="pl-PL"/>
        </w:rPr>
        <w:t xml:space="preserve">ryczałt ustala się w </w:t>
      </w:r>
      <w:r w:rsidR="00616F78" w:rsidRPr="00767038">
        <w:rPr>
          <w:lang w:val="pl-PL"/>
        </w:rPr>
        <w:t>U</w:t>
      </w:r>
      <w:r w:rsidR="000D5B8D" w:rsidRPr="00767038">
        <w:rPr>
          <w:lang w:val="pl-PL"/>
        </w:rPr>
        <w:t>mowie w sprawie projektu</w:t>
      </w:r>
      <w:r w:rsidR="009710DB" w:rsidRPr="00767038">
        <w:rPr>
          <w:lang w:val="pl-PL"/>
        </w:rPr>
        <w:t xml:space="preserve">). </w:t>
      </w:r>
    </w:p>
    <w:p w:rsidR="00F47B17" w:rsidRPr="00767038" w:rsidRDefault="000D5B8D" w:rsidP="00376576">
      <w:pPr>
        <w:rPr>
          <w:lang w:val="pl-PL"/>
        </w:rPr>
      </w:pPr>
      <w:r w:rsidRPr="00767038">
        <w:rPr>
          <w:lang w:val="pl-PL"/>
        </w:rPr>
        <w:t>W przypadku stosowania ryczałtowych kosztów podróży dowody poniesienia wydatków są ograniczone do odpowiednich jednostek</w:t>
      </w:r>
      <w:r w:rsidR="00432767" w:rsidRPr="00767038">
        <w:rPr>
          <w:lang w:val="pl-PL"/>
        </w:rPr>
        <w:t>.</w:t>
      </w:r>
      <w:r w:rsidRPr="00767038">
        <w:rPr>
          <w:lang w:val="pl-PL"/>
        </w:rPr>
        <w:t xml:space="preserve"> Nie trzeba uzasadniać kosztów rzeczywistych</w:t>
      </w:r>
      <w:r w:rsidR="00432767" w:rsidRPr="00767038">
        <w:rPr>
          <w:lang w:val="pl-PL"/>
        </w:rPr>
        <w:t xml:space="preserve">; </w:t>
      </w:r>
      <w:r w:rsidRPr="00767038">
        <w:rPr>
          <w:lang w:val="pl-PL"/>
        </w:rPr>
        <w:t>stąd wydatków zwróconych w oparciu o kwotę ryczałtową nie trzeba potwierdzać odpowiednimi dowodami, które będą umożliwiać identyfikację i weryfikację poszczególnych pozycji kosztów</w:t>
      </w:r>
      <w:r w:rsidR="00432767" w:rsidRPr="00767038">
        <w:rPr>
          <w:lang w:val="pl-PL"/>
        </w:rPr>
        <w:t>.</w:t>
      </w:r>
      <w:r w:rsidRPr="00767038">
        <w:rPr>
          <w:lang w:val="pl-PL"/>
        </w:rPr>
        <w:t xml:space="preserve"> Kwota ryczałtowa może jednak zostać uznana za wydatek kwalifikowalny pod warunkiem dowiedzenia odbycia podróży (np. przedstawienia podpisanej listy obecności uczestników</w:t>
      </w:r>
      <w:r w:rsidR="00432767" w:rsidRPr="00767038">
        <w:rPr>
          <w:lang w:val="pl-PL"/>
        </w:rPr>
        <w:t xml:space="preserve">), </w:t>
      </w:r>
      <w:r w:rsidR="00AE18AE" w:rsidRPr="00767038">
        <w:rPr>
          <w:lang w:val="pl-PL"/>
        </w:rPr>
        <w:t>poniesienia wydatków w okresie kwalifikowalności, braku podwójnego zgłoszenia itd. (a</w:t>
      </w:r>
      <w:r w:rsidR="00432767" w:rsidRPr="00767038">
        <w:rPr>
          <w:lang w:val="pl-PL"/>
        </w:rPr>
        <w:t>rt. 8.12.7</w:t>
      </w:r>
      <w:r w:rsidR="00AE18AE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AE18AE" w:rsidRPr="00767038">
        <w:rPr>
          <w:lang w:val="pl-PL"/>
        </w:rPr>
        <w:t xml:space="preserve">, por. także sekcję </w:t>
      </w:r>
      <w:r w:rsidR="00432767" w:rsidRPr="00767038">
        <w:rPr>
          <w:lang w:val="pl-PL"/>
        </w:rPr>
        <w:t>2.8).</w:t>
      </w:r>
    </w:p>
    <w:p w:rsidR="000A17F9" w:rsidRPr="00767038" w:rsidRDefault="00AE18AE" w:rsidP="00432767">
      <w:pPr>
        <w:rPr>
          <w:lang w:val="pl-PL"/>
        </w:rPr>
      </w:pPr>
      <w:r w:rsidRPr="00767038">
        <w:rPr>
          <w:lang w:val="pl-PL"/>
        </w:rPr>
        <w:lastRenderedPageBreak/>
        <w:t>W przypadku standardow</w:t>
      </w:r>
      <w:r w:rsidR="00F86180" w:rsidRPr="00767038">
        <w:rPr>
          <w:lang w:val="pl-PL"/>
        </w:rPr>
        <w:t>ych stawek j</w:t>
      </w:r>
      <w:r w:rsidRPr="00767038">
        <w:rPr>
          <w:lang w:val="pl-PL"/>
        </w:rPr>
        <w:t>ednostkowych</w:t>
      </w:r>
      <w:r w:rsidR="00F86180" w:rsidRPr="00767038">
        <w:rPr>
          <w:lang w:val="pl-PL"/>
        </w:rPr>
        <w:t xml:space="preserve"> kosztów</w:t>
      </w:r>
      <w:r w:rsidRPr="00767038">
        <w:rPr>
          <w:lang w:val="pl-PL"/>
        </w:rPr>
        <w:t xml:space="preserve"> dowody poniesienia wydatków są ograniczone do dowodów odpowiednich jednostek </w:t>
      </w:r>
      <w:r w:rsidR="00432767" w:rsidRPr="00767038">
        <w:rPr>
          <w:lang w:val="pl-PL"/>
        </w:rPr>
        <w:t>(</w:t>
      </w:r>
      <w:r w:rsidRPr="00767038">
        <w:rPr>
          <w:lang w:val="pl-PL"/>
        </w:rPr>
        <w:t>a</w:t>
      </w:r>
      <w:r w:rsidR="00432767" w:rsidRPr="00767038">
        <w:rPr>
          <w:lang w:val="pl-PL"/>
        </w:rPr>
        <w:t>rt. 8.12.7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432767" w:rsidRPr="00767038">
        <w:rPr>
          <w:lang w:val="pl-PL"/>
        </w:rPr>
        <w:t xml:space="preserve">, </w:t>
      </w:r>
      <w:r w:rsidRPr="00767038">
        <w:rPr>
          <w:lang w:val="pl-PL"/>
        </w:rPr>
        <w:t>por. także sekcję 2.</w:t>
      </w:r>
      <w:r w:rsidR="00432767" w:rsidRPr="00767038">
        <w:rPr>
          <w:lang w:val="pl-PL"/>
        </w:rPr>
        <w:t xml:space="preserve">9). </w:t>
      </w:r>
    </w:p>
    <w:p w:rsidR="000A17F9" w:rsidRPr="00767038" w:rsidRDefault="00802FDF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Raporty </w:t>
      </w:r>
      <w:r w:rsidR="00AE18AE" w:rsidRPr="00767038">
        <w:rPr>
          <w:lang w:val="pl-PL"/>
        </w:rPr>
        <w:t>audytorów</w:t>
      </w:r>
      <w:r w:rsidR="000A17F9" w:rsidRPr="00767038">
        <w:rPr>
          <w:lang w:val="pl-PL"/>
        </w:rPr>
        <w:t xml:space="preserve"> (</w:t>
      </w:r>
      <w:r w:rsidR="00AE18AE" w:rsidRPr="00767038">
        <w:rPr>
          <w:lang w:val="pl-PL"/>
        </w:rPr>
        <w:t>a</w:t>
      </w:r>
      <w:r w:rsidR="000A17F9" w:rsidRPr="00767038">
        <w:rPr>
          <w:lang w:val="pl-PL"/>
        </w:rPr>
        <w:t>rt. 8.12.4</w:t>
      </w:r>
      <w:r w:rsidR="00AE18AE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0A17F9" w:rsidRPr="00767038">
        <w:rPr>
          <w:lang w:val="pl-PL"/>
        </w:rPr>
        <w:t>)</w:t>
      </w:r>
    </w:p>
    <w:p w:rsidR="000A17F9" w:rsidRPr="00767038" w:rsidRDefault="00FB2938" w:rsidP="000A17F9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5037B9" wp14:editId="0176971E">
                <wp:simplePos x="0" y="0"/>
                <wp:positionH relativeFrom="margin">
                  <wp:posOffset>2295525</wp:posOffset>
                </wp:positionH>
                <wp:positionV relativeFrom="paragraph">
                  <wp:posOffset>78105</wp:posOffset>
                </wp:positionV>
                <wp:extent cx="3430905" cy="3740150"/>
                <wp:effectExtent l="466725" t="11430" r="7620" b="10795"/>
                <wp:wrapTight wrapText="left">
                  <wp:wrapPolygon edited="0">
                    <wp:start x="3178" y="-55"/>
                    <wp:lineTo x="2579" y="0"/>
                    <wp:lineTo x="1079" y="605"/>
                    <wp:lineTo x="1079" y="825"/>
                    <wp:lineTo x="360" y="1705"/>
                    <wp:lineTo x="-60" y="2582"/>
                    <wp:lineTo x="-180" y="3462"/>
                    <wp:lineTo x="-2339" y="4342"/>
                    <wp:lineTo x="-2878" y="4562"/>
                    <wp:lineTo x="-2938" y="4617"/>
                    <wp:lineTo x="-420" y="8739"/>
                    <wp:lineTo x="-180" y="9619"/>
                    <wp:lineTo x="-120" y="18413"/>
                    <wp:lineTo x="60" y="19293"/>
                    <wp:lineTo x="540" y="20170"/>
                    <wp:lineTo x="1439" y="21050"/>
                    <wp:lineTo x="1499" y="21160"/>
                    <wp:lineTo x="2758" y="21600"/>
                    <wp:lineTo x="2998" y="21600"/>
                    <wp:lineTo x="18542" y="21600"/>
                    <wp:lineTo x="18842" y="21600"/>
                    <wp:lineTo x="20041" y="21160"/>
                    <wp:lineTo x="20101" y="21050"/>
                    <wp:lineTo x="21060" y="20170"/>
                    <wp:lineTo x="21480" y="19293"/>
                    <wp:lineTo x="21660" y="18413"/>
                    <wp:lineTo x="21660" y="3462"/>
                    <wp:lineTo x="21600" y="2582"/>
                    <wp:lineTo x="21240" y="1705"/>
                    <wp:lineTo x="20461" y="825"/>
                    <wp:lineTo x="20521" y="605"/>
                    <wp:lineTo x="18961" y="0"/>
                    <wp:lineTo x="18362" y="-55"/>
                    <wp:lineTo x="3178" y="-55"/>
                  </wp:wrapPolygon>
                </wp:wrapTight>
                <wp:docPr id="7" name="Rounded Rectangular Callou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905" cy="3740150"/>
                        </a:xfrm>
                        <a:prstGeom prst="wedgeRoundRectCallout">
                          <a:avLst>
                            <a:gd name="adj1" fmla="val -63046"/>
                            <a:gd name="adj2" fmla="val -285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CD7FE1" w:rsidRDefault="00C522D7" w:rsidP="000A17F9">
                            <w:pP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CD7FE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Raport niezależnego audytora, który posiada kwalifikacje do przeprowadzania audytów ustawowych dokumentów księgowych, poświadczający, że zgłoszone koszty zostały poniesione zgodnie z niniejszym rozporządzeniem, prawem krajowym i odpowiednimi krajowymi zasadami rachunkowości, przyjmuje się, z zastrzeżeniem ust. 3, jako wystarczający dowód poniesienia wydatków. Raport wydany przez właściwego i niezależnego urzędnika publicznego, który został uznany prze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z</w:t>
                            </w:r>
                            <w:r w:rsidRPr="00CD7FE1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odpowiednie władze krajowe za posiadającego budżet i zdolności do prowadzenia kontroli finansowej jednostki ponoszącej koszty i który nie był zaangażowany w przygotowanie sprawozdań finansowych, poświadczający, że zgłoszone koszty zostały poniesione zgodnie z niniejszym rozporządzeniem, odpowiednim prawem i krajowymi zasadami rachunkowości, przyjmuje się także, z zastrzeżeniem ust. 3, jako wystarczający dowód poniesienia wydatków (art. 8.12.4 rozporządzeń).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8" o:spid="_x0000_s1048" type="#_x0000_t62" style="position:absolute;left:0;text-align:left;margin-left:180.75pt;margin-top:6.15pt;width:270.15pt;height:294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" adj="-2818,4635" fillcolor="white [3201]" strokecolor="black [3200]" strokeweight="1pt">
                <v:textbox>
                  <w:txbxContent>
                    <w:p w:rsidR="00C522D7" w:rsidRPr="00CD7FE1" w:rsidRDefault="00C522D7" w:rsidP="000A17F9">
                      <w:pPr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CD7FE1">
                        <w:rPr>
                          <w:color w:val="4472C4" w:themeColor="accent5"/>
                          <w:sz w:val="18"/>
                          <w:lang w:val="pl-PL"/>
                        </w:rPr>
                        <w:t>Raport niezależnego audytora, który posiada kwalifikacje do przeprowadzania audytów ustawowych dokumentów księgowych, poświadczający, że zgłoszone koszty zostały poniesione zgodnie z niniejszym rozporządzeniem, prawem krajowym i odpowiednimi krajowymi zasadami rachunkowości, przyjmuje się, z zastrzeżeniem ust. 3, jako wystarczający dowód poniesienia wydatków. Raport wydany przez właściwego i niezależnego urzędnika publicznego, który został uznany prze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z</w:t>
                      </w:r>
                      <w:r w:rsidRPr="00CD7FE1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odpowiednie władze krajowe za posiadającego budżet i zdolności do prowadzenia kontroli finansowej jednostki ponoszącej koszty i który nie był zaangażowany w przygotowanie sprawozdań finansowych, poświadczający, że zgłoszone koszty zostały poniesione zgodnie z niniejszym rozporządzeniem, odpowiednim prawem i krajowymi zasadami rachunkowości, przyjmuje się także, z zastrzeżeniem ust. 3, jako wystarczający dowód poniesienia wydatków (art. 8.12.4 rozporządzeń).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783637" w:rsidRPr="00767038">
        <w:rPr>
          <w:color w:val="000000"/>
          <w:lang w:val="pl-PL"/>
        </w:rPr>
        <w:t xml:space="preserve">Umowy w sprawie projektów i/lub umowy partnerskie mogą przewidywać możliwość przedstawienia przez </w:t>
      </w:r>
      <w:r w:rsidR="00AC25C8" w:rsidRPr="00767038">
        <w:rPr>
          <w:color w:val="000000"/>
          <w:lang w:val="pl-PL"/>
        </w:rPr>
        <w:t>beneficjenta</w:t>
      </w:r>
      <w:r w:rsidR="00783637" w:rsidRPr="00767038">
        <w:rPr>
          <w:color w:val="000000"/>
          <w:lang w:val="pl-PL"/>
        </w:rPr>
        <w:t xml:space="preserve"> lub partnerów projektów dowodów poniesienia wydatków w formie raportu niezależnego audytora lub </w:t>
      </w:r>
      <w:r w:rsidR="00802FDF" w:rsidRPr="00767038">
        <w:rPr>
          <w:color w:val="000000"/>
          <w:lang w:val="pl-PL"/>
        </w:rPr>
        <w:t xml:space="preserve">kompetentnego </w:t>
      </w:r>
      <w:r w:rsidR="00783637" w:rsidRPr="00767038">
        <w:rPr>
          <w:color w:val="000000"/>
          <w:lang w:val="pl-PL"/>
        </w:rPr>
        <w:t xml:space="preserve">i niezależnego </w:t>
      </w:r>
      <w:r w:rsidR="00802FDF" w:rsidRPr="00767038">
        <w:rPr>
          <w:color w:val="000000"/>
          <w:lang w:val="pl-PL"/>
        </w:rPr>
        <w:t>funkcjonariusza</w:t>
      </w:r>
      <w:r w:rsidR="00783637" w:rsidRPr="00767038">
        <w:rPr>
          <w:color w:val="000000"/>
          <w:lang w:val="pl-PL"/>
        </w:rPr>
        <w:t xml:space="preserve"> publicznego</w:t>
      </w:r>
      <w:r w:rsidR="000A17F9" w:rsidRPr="00767038">
        <w:rPr>
          <w:rStyle w:val="Odwoanieprzypisudolnego"/>
          <w:szCs w:val="20"/>
          <w:lang w:val="pl-PL"/>
        </w:rPr>
        <w:footnoteReference w:id="18"/>
      </w:r>
      <w:r w:rsidR="00783637" w:rsidRPr="00767038">
        <w:rPr>
          <w:color w:val="000000"/>
          <w:lang w:val="pl-PL"/>
        </w:rPr>
        <w:t xml:space="preserve">, który </w:t>
      </w:r>
      <w:r w:rsidR="00A35E94" w:rsidRPr="00767038">
        <w:rPr>
          <w:color w:val="000000"/>
          <w:lang w:val="pl-PL"/>
        </w:rPr>
        <w:t>będzie poświadczać</w:t>
      </w:r>
      <w:r w:rsidR="00783637" w:rsidRPr="00767038">
        <w:rPr>
          <w:color w:val="000000"/>
          <w:lang w:val="pl-PL"/>
        </w:rPr>
        <w:t>, że</w:t>
      </w:r>
      <w:r w:rsidR="00802FDF" w:rsidRPr="00767038">
        <w:rPr>
          <w:color w:val="000000"/>
          <w:lang w:val="pl-PL"/>
        </w:rPr>
        <w:t xml:space="preserve"> deklarowane</w:t>
      </w:r>
      <w:r w:rsidR="00783637" w:rsidRPr="00767038">
        <w:rPr>
          <w:color w:val="000000"/>
          <w:lang w:val="pl-PL"/>
        </w:rPr>
        <w:t xml:space="preserve"> koszty zostały poniesione zgodnie z </w:t>
      </w:r>
      <w:r w:rsidR="005A62D3" w:rsidRPr="00767038">
        <w:rPr>
          <w:color w:val="000000"/>
          <w:lang w:val="pl-PL"/>
        </w:rPr>
        <w:t>Regulacjami</w:t>
      </w:r>
      <w:r w:rsidR="000A17F9" w:rsidRPr="00767038">
        <w:rPr>
          <w:szCs w:val="20"/>
          <w:lang w:val="pl-PL"/>
        </w:rPr>
        <w:t>,</w:t>
      </w:r>
      <w:r w:rsidR="00783637" w:rsidRPr="00767038">
        <w:rPr>
          <w:szCs w:val="20"/>
          <w:lang w:val="pl-PL"/>
        </w:rPr>
        <w:t xml:space="preserve"> </w:t>
      </w:r>
      <w:r w:rsidR="00802FDF" w:rsidRPr="00767038">
        <w:rPr>
          <w:szCs w:val="20"/>
          <w:lang w:val="pl-PL"/>
        </w:rPr>
        <w:t xml:space="preserve">obowiązującym </w:t>
      </w:r>
      <w:r w:rsidR="00783637" w:rsidRPr="00767038">
        <w:rPr>
          <w:szCs w:val="20"/>
          <w:lang w:val="pl-PL"/>
        </w:rPr>
        <w:t>prawem</w:t>
      </w:r>
      <w:r w:rsidR="00802FDF" w:rsidRPr="00767038">
        <w:rPr>
          <w:szCs w:val="20"/>
          <w:lang w:val="pl-PL"/>
        </w:rPr>
        <w:t xml:space="preserve"> </w:t>
      </w:r>
      <w:r w:rsidR="00A35E94" w:rsidRPr="00767038">
        <w:rPr>
          <w:szCs w:val="20"/>
          <w:lang w:val="pl-PL"/>
        </w:rPr>
        <w:t>i krajowymi</w:t>
      </w:r>
      <w:r w:rsidR="00802FDF" w:rsidRPr="00767038">
        <w:rPr>
          <w:szCs w:val="20"/>
          <w:lang w:val="pl-PL"/>
        </w:rPr>
        <w:t xml:space="preserve"> praktykami w zakresie</w:t>
      </w:r>
      <w:r w:rsidR="00783637" w:rsidRPr="00767038">
        <w:rPr>
          <w:szCs w:val="20"/>
          <w:lang w:val="pl-PL"/>
        </w:rPr>
        <w:t xml:space="preserve"> rachunkowości</w:t>
      </w:r>
      <w:r w:rsidR="000A17F9" w:rsidRPr="00767038">
        <w:rPr>
          <w:szCs w:val="20"/>
          <w:lang w:val="pl-PL"/>
        </w:rPr>
        <w:t>.</w:t>
      </w:r>
      <w:r w:rsidR="00B642BD" w:rsidRPr="00767038">
        <w:rPr>
          <w:szCs w:val="20"/>
          <w:lang w:val="pl-PL"/>
        </w:rPr>
        <w:t xml:space="preserve"> </w:t>
      </w:r>
      <w:r w:rsidR="00783637" w:rsidRPr="00767038">
        <w:rPr>
          <w:color w:val="000000"/>
          <w:lang w:val="pl-PL"/>
        </w:rPr>
        <w:t>Raporty te różnią się zakresem prac przeprowadzonych przez audytora, ale zasadniczo obejmują podstawowe wymagania jako potwierdzenie, że</w:t>
      </w:r>
      <w:r w:rsidR="000A17F9" w:rsidRPr="00767038">
        <w:rPr>
          <w:color w:val="000000"/>
          <w:lang w:val="pl-PL"/>
        </w:rPr>
        <w:t>:</w:t>
      </w:r>
    </w:p>
    <w:p w:rsidR="000A17F9" w:rsidRPr="00767038" w:rsidRDefault="00783637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wydatki zostały poniesione w okresie kwalifikowalności i są zgodne z zasadami kwalifikowalności</w:t>
      </w:r>
      <w:r w:rsidR="000A17F9" w:rsidRPr="00767038">
        <w:rPr>
          <w:rFonts w:cs="Times New Roman"/>
          <w:color w:val="000000"/>
          <w:lang w:val="pl-PL"/>
        </w:rPr>
        <w:t>;</w:t>
      </w:r>
    </w:p>
    <w:p w:rsidR="000A17F9" w:rsidRPr="00767038" w:rsidRDefault="00783637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wydatki dotyczą pozycji zatwierdzonych w </w:t>
      </w:r>
      <w:r w:rsidR="00802FDF" w:rsidRPr="00767038">
        <w:rPr>
          <w:rFonts w:cs="Times New Roman"/>
          <w:color w:val="000000"/>
          <w:lang w:val="pl-PL"/>
        </w:rPr>
        <w:t>U</w:t>
      </w:r>
      <w:r w:rsidRPr="00767038">
        <w:rPr>
          <w:rFonts w:cs="Times New Roman"/>
          <w:color w:val="000000"/>
          <w:lang w:val="pl-PL"/>
        </w:rPr>
        <w:t>mowie w sprawie projektu</w:t>
      </w:r>
      <w:r w:rsidR="000A17F9" w:rsidRPr="00767038">
        <w:rPr>
          <w:rFonts w:cs="Times New Roman"/>
          <w:color w:val="000000"/>
          <w:lang w:val="pl-PL"/>
        </w:rPr>
        <w:t>;</w:t>
      </w:r>
    </w:p>
    <w:p w:rsidR="000A17F9" w:rsidRPr="00767038" w:rsidRDefault="00CD7FE1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z</w:t>
      </w:r>
      <w:r w:rsidR="00783637" w:rsidRPr="00767038">
        <w:rPr>
          <w:rFonts w:cs="Times New Roman"/>
          <w:color w:val="000000"/>
          <w:lang w:val="pl-PL"/>
        </w:rPr>
        <w:t xml:space="preserve">ostały spełnione warunki umowy i </w:t>
      </w:r>
      <w:r w:rsidRPr="00767038">
        <w:rPr>
          <w:rFonts w:cs="Times New Roman"/>
          <w:color w:val="000000"/>
          <w:lang w:val="pl-PL"/>
        </w:rPr>
        <w:t xml:space="preserve">istnieją </w:t>
      </w:r>
      <w:r w:rsidR="00802FDF" w:rsidRPr="00767038">
        <w:rPr>
          <w:rFonts w:cs="Times New Roman"/>
          <w:color w:val="000000"/>
          <w:lang w:val="pl-PL"/>
        </w:rPr>
        <w:t xml:space="preserve">odpowiednie </w:t>
      </w:r>
      <w:r w:rsidRPr="00767038">
        <w:rPr>
          <w:rFonts w:cs="Times New Roman"/>
          <w:color w:val="000000"/>
          <w:lang w:val="pl-PL"/>
        </w:rPr>
        <w:t>dokumenty dodatkowe, w tym rejestry księgowe</w:t>
      </w:r>
      <w:r w:rsidR="000A17F9" w:rsidRPr="00767038">
        <w:rPr>
          <w:rFonts w:cs="Times New Roman"/>
          <w:color w:val="000000"/>
          <w:lang w:val="pl-PL"/>
        </w:rPr>
        <w:t>.</w:t>
      </w:r>
    </w:p>
    <w:p w:rsidR="000A17F9" w:rsidRPr="00767038" w:rsidRDefault="00CD7FE1" w:rsidP="000A17F9">
      <w:pPr>
        <w:autoSpaceDE w:val="0"/>
        <w:autoSpaceDN w:val="0"/>
        <w:adjustRightInd w:val="0"/>
        <w:spacing w:after="0"/>
        <w:rPr>
          <w:rFonts w:cs="Times New Roman"/>
          <w:color w:val="000000"/>
          <w:lang w:val="pl-PL"/>
        </w:rPr>
      </w:pPr>
      <w:r w:rsidRPr="00767038">
        <w:rPr>
          <w:color w:val="000000"/>
          <w:lang w:val="pl-PL"/>
        </w:rPr>
        <w:t xml:space="preserve">Jeżeli chodzi o raport </w:t>
      </w:r>
      <w:r w:rsidRPr="00767038">
        <w:rPr>
          <w:b/>
          <w:bCs/>
          <w:szCs w:val="20"/>
          <w:lang w:val="pl-PL"/>
        </w:rPr>
        <w:t>niezależnego audytora</w:t>
      </w:r>
      <w:r w:rsidR="000A17F9" w:rsidRPr="00767038">
        <w:rPr>
          <w:color w:val="000000"/>
          <w:lang w:val="pl-PL"/>
        </w:rPr>
        <w:t xml:space="preserve">, </w:t>
      </w:r>
      <w:r w:rsidRPr="00767038">
        <w:rPr>
          <w:color w:val="000000"/>
          <w:lang w:val="pl-PL"/>
        </w:rPr>
        <w:t xml:space="preserve">ważne jest, aby </w:t>
      </w:r>
      <w:r w:rsidR="00315981" w:rsidRPr="00767038">
        <w:rPr>
          <w:color w:val="000000"/>
          <w:lang w:val="pl-PL"/>
        </w:rPr>
        <w:t>Operator Programu</w:t>
      </w:r>
      <w:r w:rsidRPr="00767038">
        <w:rPr>
          <w:color w:val="000000"/>
          <w:lang w:val="pl-PL"/>
        </w:rPr>
        <w:t xml:space="preserve"> </w:t>
      </w:r>
      <w:r w:rsidR="00802FDF" w:rsidRPr="00767038">
        <w:rPr>
          <w:color w:val="000000"/>
          <w:lang w:val="pl-PL"/>
        </w:rPr>
        <w:t xml:space="preserve">przygotował </w:t>
      </w:r>
      <w:r w:rsidRPr="00767038">
        <w:rPr>
          <w:color w:val="000000"/>
          <w:lang w:val="pl-PL"/>
        </w:rPr>
        <w:t xml:space="preserve">wytyczne dotyczące zakresu pracy, która ma być wykonana, określił wzór raportu, który nie powinien być jedynie </w:t>
      </w:r>
      <w:r w:rsidR="00143FBA" w:rsidRPr="00767038">
        <w:rPr>
          <w:color w:val="000000"/>
          <w:lang w:val="pl-PL"/>
        </w:rPr>
        <w:t>jednozdaniowym</w:t>
      </w:r>
      <w:r w:rsidRPr="00767038">
        <w:rPr>
          <w:color w:val="000000"/>
          <w:lang w:val="pl-PL"/>
        </w:rPr>
        <w:t xml:space="preserve"> zaświadczeniem o prawidłowości wydatków, ale powinien wystarczająco szczegółowo opisywać cel, procedury i </w:t>
      </w:r>
      <w:r w:rsidR="00802FDF" w:rsidRPr="00767038">
        <w:rPr>
          <w:color w:val="000000"/>
          <w:lang w:val="pl-PL"/>
        </w:rPr>
        <w:t>rezultaty procesu</w:t>
      </w:r>
      <w:r w:rsidRPr="00767038">
        <w:rPr>
          <w:color w:val="000000"/>
          <w:lang w:val="pl-PL"/>
        </w:rPr>
        <w:t xml:space="preserve">, tak aby </w:t>
      </w:r>
      <w:r w:rsidR="00143FBA" w:rsidRPr="00767038">
        <w:rPr>
          <w:color w:val="000000"/>
          <w:lang w:val="pl-PL"/>
        </w:rPr>
        <w:t>odbiorca mógł zrozumieć charakter i zakres wykonanej pracy</w:t>
      </w:r>
      <w:r w:rsidR="000A17F9" w:rsidRPr="00767038">
        <w:rPr>
          <w:color w:val="000000"/>
          <w:lang w:val="pl-PL"/>
        </w:rPr>
        <w:t>.</w:t>
      </w:r>
    </w:p>
    <w:p w:rsidR="000A17F9" w:rsidRPr="00767038" w:rsidRDefault="00143FBA" w:rsidP="000A17F9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Międzynarodowa Federacja Księgowych</w:t>
      </w:r>
      <w:r w:rsidR="000A17F9" w:rsidRPr="00767038">
        <w:rPr>
          <w:rFonts w:cs="Times New Roman"/>
          <w:color w:val="000000"/>
          <w:lang w:val="pl-PL"/>
        </w:rPr>
        <w:t xml:space="preserve"> (IFAC) </w:t>
      </w:r>
      <w:r w:rsidRPr="00767038">
        <w:rPr>
          <w:rFonts w:cs="Times New Roman"/>
          <w:color w:val="000000"/>
          <w:lang w:val="pl-PL"/>
        </w:rPr>
        <w:t xml:space="preserve">wydała </w:t>
      </w:r>
      <w:r w:rsidR="00250452" w:rsidRPr="00767038">
        <w:rPr>
          <w:rFonts w:cs="Times New Roman"/>
          <w:color w:val="000000"/>
          <w:lang w:val="pl-PL"/>
        </w:rPr>
        <w:t xml:space="preserve">Międzynarodowy Standard Usług Związanych </w:t>
      </w:r>
      <w:r w:rsidR="000A17F9" w:rsidRPr="00767038">
        <w:rPr>
          <w:rFonts w:cs="Times New Roman"/>
          <w:color w:val="000000"/>
          <w:lang w:val="pl-PL"/>
        </w:rPr>
        <w:t>(</w:t>
      </w:r>
      <w:r w:rsidR="0065398F">
        <w:rPr>
          <w:rFonts w:cs="Times New Roman"/>
          <w:color w:val="000000"/>
          <w:lang w:val="pl-PL"/>
        </w:rPr>
        <w:t>ISRS</w:t>
      </w:r>
      <w:r w:rsidR="000A17F9" w:rsidRPr="00767038">
        <w:rPr>
          <w:rFonts w:cs="Times New Roman"/>
          <w:color w:val="000000"/>
          <w:lang w:val="pl-PL"/>
        </w:rPr>
        <w:t xml:space="preserve">) 4400 </w:t>
      </w:r>
      <w:r w:rsidR="00250452" w:rsidRPr="00767038">
        <w:rPr>
          <w:rFonts w:cs="Times New Roman"/>
          <w:color w:val="000000"/>
          <w:lang w:val="pl-PL"/>
        </w:rPr>
        <w:t xml:space="preserve">„Zlecenia uzgodnionych procedur dotyczących informacji finansowych”, który ustanawia standardy i dostarcza wytycznych dotyczących </w:t>
      </w:r>
      <w:r w:rsidR="00250452" w:rsidRPr="00767038">
        <w:rPr>
          <w:rFonts w:cs="Times New Roman"/>
          <w:color w:val="000000"/>
          <w:lang w:val="pl-PL"/>
        </w:rPr>
        <w:lastRenderedPageBreak/>
        <w:t>odpowiedzialności zawodowej audytora w przypadku zlecenia uzgodnionych procedury dotyczących informacji finansowych oraz formy i treści raportu audytora w przypadku takiego zlecenia</w:t>
      </w:r>
      <w:r w:rsidR="000A17F9" w:rsidRPr="00767038">
        <w:rPr>
          <w:rFonts w:cs="Times New Roman"/>
          <w:color w:val="000000"/>
          <w:lang w:val="pl-PL"/>
        </w:rPr>
        <w:t>.</w:t>
      </w:r>
      <w:r w:rsidR="00250452" w:rsidRPr="00767038">
        <w:rPr>
          <w:rFonts w:cs="Times New Roman"/>
          <w:color w:val="000000"/>
          <w:lang w:val="pl-PL"/>
        </w:rPr>
        <w:t xml:space="preserve"> W tym celu można wykorzystać rodzaj uzgodnionych procedur</w:t>
      </w:r>
      <w:r w:rsidR="000A17F9" w:rsidRPr="00767038">
        <w:rPr>
          <w:rFonts w:cs="Times New Roman"/>
          <w:color w:val="000000"/>
          <w:lang w:val="pl-PL"/>
        </w:rPr>
        <w:t>.</w:t>
      </w:r>
    </w:p>
    <w:p w:rsidR="000A17F9" w:rsidRPr="00767038" w:rsidRDefault="00250452" w:rsidP="000A17F9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Zlecenie uzgodnionych procedur ma na celu przeprowadzenie przez audytora procedur o charakterze audytowym, które zostały uzgodnione przez audytora i właściwe strony, a także przygotowania raportu z ustaleń audytowych</w:t>
      </w:r>
      <w:r w:rsidR="000A17F9" w:rsidRPr="00767038">
        <w:rPr>
          <w:rFonts w:cs="Times New Roman"/>
          <w:color w:val="000000"/>
          <w:lang w:val="pl-PL"/>
        </w:rPr>
        <w:t>.</w:t>
      </w:r>
      <w:r w:rsidR="00D67AD6" w:rsidRPr="00767038">
        <w:rPr>
          <w:rFonts w:cs="Times New Roman"/>
          <w:color w:val="000000"/>
          <w:lang w:val="pl-PL"/>
        </w:rPr>
        <w:t xml:space="preserve"> Kwestie podlegające uzgodnieniu to</w:t>
      </w:r>
      <w:r w:rsidR="000A17F9" w:rsidRPr="00767038">
        <w:rPr>
          <w:rFonts w:cs="Times New Roman"/>
          <w:color w:val="000000"/>
          <w:lang w:val="pl-PL"/>
        </w:rPr>
        <w:t>:</w:t>
      </w:r>
    </w:p>
    <w:p w:rsidR="000A17F9" w:rsidRPr="00767038" w:rsidRDefault="00D67AD6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charakter zlecenia</w:t>
      </w:r>
      <w:r w:rsidR="000A17F9" w:rsidRPr="00767038">
        <w:rPr>
          <w:rFonts w:cs="Times New Roman"/>
          <w:color w:val="000000"/>
          <w:lang w:val="pl-PL"/>
        </w:rPr>
        <w:t>;</w:t>
      </w:r>
    </w:p>
    <w:p w:rsidR="000A17F9" w:rsidRPr="00767038" w:rsidRDefault="00D67AD6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cel zlecenia</w:t>
      </w:r>
      <w:r w:rsidR="000A17F9" w:rsidRPr="00767038">
        <w:rPr>
          <w:rFonts w:cs="Times New Roman"/>
          <w:color w:val="000000"/>
          <w:lang w:val="pl-PL"/>
        </w:rPr>
        <w:t>;</w:t>
      </w:r>
    </w:p>
    <w:p w:rsidR="000A17F9" w:rsidRPr="00767038" w:rsidRDefault="00D67AD6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informacje finansow</w:t>
      </w:r>
      <w:r w:rsidR="00717C9C" w:rsidRPr="00767038">
        <w:rPr>
          <w:rFonts w:cs="Times New Roman"/>
          <w:color w:val="000000"/>
          <w:lang w:val="pl-PL"/>
        </w:rPr>
        <w:t>e</w:t>
      </w:r>
      <w:r w:rsidRPr="00767038">
        <w:rPr>
          <w:rFonts w:cs="Times New Roman"/>
          <w:color w:val="000000"/>
          <w:lang w:val="pl-PL"/>
        </w:rPr>
        <w:t>, do który będą mieć zastosowanie uzgodnione procedury</w:t>
      </w:r>
      <w:r w:rsidR="000A17F9" w:rsidRPr="00767038">
        <w:rPr>
          <w:rFonts w:cs="Times New Roman"/>
          <w:color w:val="000000"/>
          <w:lang w:val="pl-PL"/>
        </w:rPr>
        <w:t>;</w:t>
      </w:r>
    </w:p>
    <w:p w:rsidR="000A17F9" w:rsidRPr="00767038" w:rsidRDefault="00D67AD6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charakter, czas i zakres szczególnych procedur, które będą stosowane</w:t>
      </w:r>
      <w:r w:rsidR="000A17F9" w:rsidRPr="00767038">
        <w:rPr>
          <w:rFonts w:cs="Times New Roman"/>
          <w:color w:val="000000"/>
          <w:lang w:val="pl-PL"/>
        </w:rPr>
        <w:t>;</w:t>
      </w:r>
    </w:p>
    <w:p w:rsidR="000A17F9" w:rsidRPr="00767038" w:rsidRDefault="00D67AD6" w:rsidP="000A17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oczekiwana forma raportu z ustaleń audytowych</w:t>
      </w:r>
      <w:r w:rsidR="000A17F9" w:rsidRPr="00767038">
        <w:rPr>
          <w:rFonts w:cs="Times New Roman"/>
          <w:color w:val="000000"/>
          <w:lang w:val="pl-PL"/>
        </w:rPr>
        <w:t>.</w:t>
      </w:r>
    </w:p>
    <w:p w:rsidR="000A17F9" w:rsidRPr="00767038" w:rsidRDefault="0065398F" w:rsidP="000A17F9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ISRS </w:t>
      </w:r>
      <w:r w:rsidR="000A17F9" w:rsidRPr="00767038">
        <w:rPr>
          <w:rFonts w:cs="Times New Roman"/>
          <w:color w:val="000000"/>
          <w:lang w:val="pl-PL"/>
        </w:rPr>
        <w:t xml:space="preserve">4400 </w:t>
      </w:r>
      <w:r w:rsidR="00D67AD6" w:rsidRPr="00767038">
        <w:rPr>
          <w:rFonts w:cs="Times New Roman"/>
          <w:color w:val="000000"/>
          <w:lang w:val="pl-PL"/>
        </w:rPr>
        <w:t>zawiera także użyteczne wzor</w:t>
      </w:r>
      <w:r w:rsidR="00CA2ADE" w:rsidRPr="00767038">
        <w:rPr>
          <w:rFonts w:cs="Times New Roman"/>
          <w:color w:val="000000"/>
          <w:lang w:val="pl-PL"/>
        </w:rPr>
        <w:t>y</w:t>
      </w:r>
      <w:r w:rsidR="005C5C0F" w:rsidRPr="00767038">
        <w:rPr>
          <w:rFonts w:cs="Times New Roman"/>
          <w:color w:val="000000"/>
          <w:lang w:val="pl-PL"/>
        </w:rPr>
        <w:t xml:space="preserve"> </w:t>
      </w:r>
      <w:r w:rsidR="00CA2ADE" w:rsidRPr="00767038">
        <w:rPr>
          <w:rFonts w:cs="Times New Roman"/>
          <w:color w:val="000000"/>
          <w:lang w:val="pl-PL"/>
        </w:rPr>
        <w:t>zleceń i raportów z ustaleń audytowych</w:t>
      </w:r>
      <w:r w:rsidR="000A17F9" w:rsidRPr="00767038">
        <w:rPr>
          <w:rStyle w:val="Odwoanieprzypisudolnego"/>
          <w:rFonts w:cs="Times New Roman"/>
          <w:color w:val="000000"/>
          <w:lang w:val="pl-PL"/>
        </w:rPr>
        <w:footnoteReference w:id="19"/>
      </w:r>
      <w:r w:rsidR="000A17F9" w:rsidRPr="00767038">
        <w:rPr>
          <w:rFonts w:cs="Times New Roman"/>
          <w:color w:val="000000"/>
          <w:lang w:val="pl-PL"/>
        </w:rPr>
        <w:t>.</w:t>
      </w:r>
    </w:p>
    <w:p w:rsidR="000A17F9" w:rsidRDefault="00717C9C" w:rsidP="000A17F9">
      <w:pPr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Określonego raportu audytora, o którym mowa w art. 8.12.4 </w:t>
      </w:r>
      <w:r w:rsidR="005A62D3" w:rsidRPr="00767038">
        <w:rPr>
          <w:rFonts w:cs="Times New Roman"/>
          <w:color w:val="000000"/>
          <w:lang w:val="pl-PL"/>
        </w:rPr>
        <w:t>Regulacji</w:t>
      </w:r>
      <w:r w:rsidRPr="00767038">
        <w:rPr>
          <w:rFonts w:cs="Times New Roman"/>
          <w:color w:val="000000"/>
          <w:lang w:val="pl-PL"/>
        </w:rPr>
        <w:t>, nie można zastąpić sprawozdaniem finansowym jednostki podlegającym corocznemu badaniu</w:t>
      </w:r>
      <w:r w:rsidR="000A17F9" w:rsidRPr="00767038">
        <w:rPr>
          <w:rFonts w:cs="Times New Roman"/>
          <w:color w:val="000000"/>
          <w:lang w:val="pl-PL"/>
        </w:rPr>
        <w:t>.</w:t>
      </w:r>
    </w:p>
    <w:p w:rsidR="00DF6C58" w:rsidRPr="00767038" w:rsidRDefault="00DF6C58" w:rsidP="000A17F9">
      <w:pPr>
        <w:rPr>
          <w:rFonts w:cs="Times New Roman"/>
          <w:color w:val="000000"/>
          <w:lang w:val="pl-PL"/>
        </w:rPr>
      </w:pPr>
    </w:p>
    <w:p w:rsidR="005D4A0C" w:rsidRPr="00767038" w:rsidRDefault="00C06CD6" w:rsidP="00A0039A">
      <w:pPr>
        <w:pStyle w:val="Nagwek2"/>
        <w:rPr>
          <w:lang w:val="pl-PL"/>
        </w:rPr>
      </w:pPr>
      <w:bookmarkStart w:id="83" w:name="_Toc498508046"/>
      <w:bookmarkStart w:id="84" w:name="_Toc498500000"/>
      <w:bookmarkStart w:id="85" w:name="_Toc498498887"/>
      <w:bookmarkStart w:id="86" w:name="_Toc496283590"/>
      <w:bookmarkStart w:id="87" w:name="_Toc496283551"/>
      <w:bookmarkStart w:id="88" w:name="_Toc496282858"/>
      <w:bookmarkStart w:id="89" w:name="_Toc496282786"/>
      <w:bookmarkStart w:id="90" w:name="_Toc498508045"/>
      <w:bookmarkStart w:id="91" w:name="_Toc498499999"/>
      <w:bookmarkStart w:id="92" w:name="_Toc498498886"/>
      <w:bookmarkStart w:id="93" w:name="_Toc496283589"/>
      <w:bookmarkStart w:id="94" w:name="_Toc496283550"/>
      <w:bookmarkStart w:id="95" w:name="_Toc496282857"/>
      <w:bookmarkStart w:id="96" w:name="_Toc496282785"/>
      <w:bookmarkStart w:id="97" w:name="_Toc498508044"/>
      <w:bookmarkStart w:id="98" w:name="_Toc498499998"/>
      <w:bookmarkStart w:id="99" w:name="_Toc498498885"/>
      <w:bookmarkStart w:id="100" w:name="_Toc496283588"/>
      <w:bookmarkStart w:id="101" w:name="_Toc496283549"/>
      <w:bookmarkStart w:id="102" w:name="_Toc496282856"/>
      <w:bookmarkStart w:id="103" w:name="_Toc496282784"/>
      <w:bookmarkStart w:id="104" w:name="_Toc50523851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767038">
        <w:rPr>
          <w:iCs/>
          <w:lang w:val="pl-PL"/>
        </w:rPr>
        <w:t>O</w:t>
      </w:r>
      <w:r w:rsidR="00717C9C" w:rsidRPr="00767038">
        <w:rPr>
          <w:iCs/>
          <w:lang w:val="pl-PL"/>
        </w:rPr>
        <w:t>dsetki</w:t>
      </w:r>
      <w:r w:rsidR="005D4A0C" w:rsidRPr="00767038">
        <w:rPr>
          <w:iCs/>
          <w:lang w:val="pl-PL"/>
        </w:rPr>
        <w:t xml:space="preserve"> (</w:t>
      </w:r>
      <w:r w:rsidR="00717C9C" w:rsidRPr="00767038">
        <w:rPr>
          <w:iCs/>
          <w:lang w:val="pl-PL"/>
        </w:rPr>
        <w:t>a</w:t>
      </w:r>
      <w:r w:rsidR="005D4A0C" w:rsidRPr="00767038">
        <w:rPr>
          <w:iCs/>
          <w:lang w:val="pl-PL"/>
        </w:rPr>
        <w:t>rt. 9.7</w:t>
      </w:r>
      <w:r w:rsidR="00717C9C"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5D4A0C" w:rsidRPr="00767038">
        <w:rPr>
          <w:iCs/>
          <w:lang w:val="pl-PL"/>
        </w:rPr>
        <w:t>)</w:t>
      </w:r>
      <w:bookmarkEnd w:id="104"/>
    </w:p>
    <w:p w:rsidR="008C48A6" w:rsidRPr="00767038" w:rsidRDefault="003A6DB3" w:rsidP="00376576">
      <w:pPr>
        <w:rPr>
          <w:lang w:val="pl-PL"/>
        </w:rPr>
      </w:pPr>
      <w:r w:rsidRPr="00767038">
        <w:rPr>
          <w:lang w:val="pl-PL"/>
        </w:rPr>
        <w:t>Wszelkie</w:t>
      </w:r>
      <w:r w:rsidR="00717C9C" w:rsidRPr="00767038">
        <w:rPr>
          <w:lang w:val="pl-PL"/>
        </w:rPr>
        <w:t xml:space="preserve"> odsetki </w:t>
      </w:r>
      <w:r w:rsidRPr="00767038">
        <w:rPr>
          <w:lang w:val="pl-PL"/>
        </w:rPr>
        <w:t xml:space="preserve">wygenerowane </w:t>
      </w:r>
      <w:r w:rsidR="00717C9C" w:rsidRPr="00767038">
        <w:rPr>
          <w:lang w:val="pl-PL"/>
        </w:rPr>
        <w:t xml:space="preserve">na następujących rachunkach </w:t>
      </w:r>
      <w:r w:rsidRPr="00767038">
        <w:rPr>
          <w:lang w:val="pl-PL"/>
        </w:rPr>
        <w:t>bankowych traktuje</w:t>
      </w:r>
      <w:r w:rsidR="00717C9C" w:rsidRPr="00767038">
        <w:rPr>
          <w:lang w:val="pl-PL"/>
        </w:rPr>
        <w:t xml:space="preserve"> się </w:t>
      </w:r>
      <w:r w:rsidRPr="00767038">
        <w:rPr>
          <w:lang w:val="pl-PL"/>
        </w:rPr>
        <w:t>jako środki należne</w:t>
      </w:r>
      <w:r w:rsidR="00717C9C" w:rsidRPr="00767038">
        <w:rPr>
          <w:lang w:val="pl-PL"/>
        </w:rPr>
        <w:t xml:space="preserve"> KMF/</w:t>
      </w:r>
      <w:r w:rsidR="00C604D9" w:rsidRPr="00767038">
        <w:rPr>
          <w:lang w:val="pl-PL"/>
        </w:rPr>
        <w:t>NMSZ</w:t>
      </w:r>
      <w:r w:rsidR="00717C9C" w:rsidRPr="00767038">
        <w:rPr>
          <w:lang w:val="pl-PL"/>
        </w:rPr>
        <w:t xml:space="preserve"> i zgłasza się je w cyklach rocznych</w:t>
      </w:r>
      <w:r w:rsidR="0058072A" w:rsidRPr="00767038">
        <w:rPr>
          <w:lang w:val="pl-PL"/>
        </w:rPr>
        <w:t xml:space="preserve">: </w:t>
      </w:r>
    </w:p>
    <w:p w:rsidR="0058072A" w:rsidRPr="00767038" w:rsidRDefault="00717C9C" w:rsidP="003A6DB3">
      <w:pPr>
        <w:pStyle w:val="Akapitzlist"/>
        <w:numPr>
          <w:ilvl w:val="0"/>
          <w:numId w:val="9"/>
        </w:numPr>
        <w:rPr>
          <w:lang w:val="pl-PL"/>
        </w:rPr>
      </w:pPr>
      <w:r w:rsidRPr="00767038">
        <w:rPr>
          <w:lang w:val="pl-PL"/>
        </w:rPr>
        <w:t xml:space="preserve">rachunkach prowadzonych w </w:t>
      </w:r>
      <w:r w:rsidR="003A6DB3" w:rsidRPr="00767038">
        <w:rPr>
          <w:lang w:val="pl-PL"/>
        </w:rPr>
        <w:t>P</w:t>
      </w:r>
      <w:r w:rsidRPr="00767038">
        <w:rPr>
          <w:lang w:val="pl-PL"/>
        </w:rPr>
        <w:t>aństwie</w:t>
      </w:r>
      <w:r w:rsidR="003A6DB3" w:rsidRPr="00767038">
        <w:rPr>
          <w:lang w:val="pl-PL"/>
        </w:rPr>
        <w:t>-Beneficjencie</w:t>
      </w:r>
      <w:r w:rsidRPr="00767038">
        <w:rPr>
          <w:lang w:val="pl-PL"/>
        </w:rPr>
        <w:t>, na który</w:t>
      </w:r>
      <w:r w:rsidR="003A6DB3" w:rsidRPr="00767038">
        <w:rPr>
          <w:lang w:val="pl-PL"/>
        </w:rPr>
        <w:t>ch</w:t>
      </w:r>
      <w:r w:rsidRPr="00767038">
        <w:rPr>
          <w:lang w:val="pl-PL"/>
        </w:rPr>
        <w:t xml:space="preserve"> gromadzi się środki finansowe od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do czasu ich przekazania </w:t>
      </w:r>
      <w:r w:rsidR="00315981" w:rsidRPr="00767038">
        <w:rPr>
          <w:lang w:val="pl-PL"/>
        </w:rPr>
        <w:t>Operator</w:t>
      </w:r>
      <w:r w:rsidR="003A6DB3" w:rsidRPr="00767038">
        <w:rPr>
          <w:lang w:val="pl-PL"/>
        </w:rPr>
        <w:t>om</w:t>
      </w:r>
      <w:r w:rsidR="00315981" w:rsidRPr="00767038">
        <w:rPr>
          <w:lang w:val="pl-PL"/>
        </w:rPr>
        <w:t xml:space="preserve"> Program</w:t>
      </w:r>
      <w:r w:rsidR="003A6DB3" w:rsidRPr="00767038">
        <w:rPr>
          <w:lang w:val="pl-PL"/>
        </w:rPr>
        <w:t>ów</w:t>
      </w:r>
      <w:r w:rsidR="000D3A7D" w:rsidRPr="00767038">
        <w:rPr>
          <w:lang w:val="pl-PL"/>
        </w:rPr>
        <w:t>;</w:t>
      </w:r>
    </w:p>
    <w:p w:rsidR="007B59D1" w:rsidRPr="007B59D1" w:rsidRDefault="00717C9C" w:rsidP="007B59D1">
      <w:pPr>
        <w:pStyle w:val="Akapitzlist"/>
        <w:numPr>
          <w:ilvl w:val="0"/>
          <w:numId w:val="9"/>
        </w:numPr>
      </w:pPr>
      <w:r w:rsidRPr="007B59D1">
        <w:rPr>
          <w:lang w:val="pl-PL"/>
        </w:rPr>
        <w:t xml:space="preserve">rachunkach </w:t>
      </w:r>
      <w:r w:rsidR="003A6DB3" w:rsidRPr="007B59D1">
        <w:rPr>
          <w:lang w:val="pl-PL"/>
        </w:rPr>
        <w:t xml:space="preserve">ustanowionych </w:t>
      </w:r>
      <w:r w:rsidRPr="007B59D1">
        <w:rPr>
          <w:lang w:val="pl-PL"/>
        </w:rPr>
        <w:t xml:space="preserve">przez </w:t>
      </w:r>
      <w:r w:rsidR="00315981" w:rsidRPr="007B59D1">
        <w:rPr>
          <w:lang w:val="pl-PL"/>
        </w:rPr>
        <w:t>Operator</w:t>
      </w:r>
      <w:r w:rsidR="00132B37" w:rsidRPr="007B59D1">
        <w:rPr>
          <w:lang w:val="pl-PL"/>
        </w:rPr>
        <w:t>a</w:t>
      </w:r>
      <w:r w:rsidR="00315981" w:rsidRPr="007B59D1">
        <w:rPr>
          <w:lang w:val="pl-PL"/>
        </w:rPr>
        <w:t xml:space="preserve"> Programu</w:t>
      </w:r>
      <w:r w:rsidRPr="007B59D1">
        <w:rPr>
          <w:lang w:val="pl-PL"/>
        </w:rPr>
        <w:t xml:space="preserve"> w </w:t>
      </w:r>
      <w:r w:rsidR="00E3549C" w:rsidRPr="007B59D1">
        <w:rPr>
          <w:lang w:val="pl-PL"/>
        </w:rPr>
        <w:t>celu</w:t>
      </w:r>
      <w:r w:rsidRPr="007B59D1">
        <w:rPr>
          <w:lang w:val="pl-PL"/>
        </w:rPr>
        <w:t xml:space="preserve"> gromadzenia środków </w:t>
      </w:r>
      <w:r w:rsidR="003A6DB3" w:rsidRPr="007B59D1">
        <w:rPr>
          <w:lang w:val="pl-PL"/>
        </w:rPr>
        <w:t xml:space="preserve">przeznaczonych na </w:t>
      </w:r>
      <w:proofErr w:type="spellStart"/>
      <w:r w:rsidR="003A6DB3" w:rsidRPr="007B59D1">
        <w:rPr>
          <w:lang w:val="pl-PL"/>
        </w:rPr>
        <w:t>regranting</w:t>
      </w:r>
      <w:proofErr w:type="spellEnd"/>
      <w:r w:rsidR="000D3A7D" w:rsidRPr="007B59D1">
        <w:rPr>
          <w:lang w:val="pl-PL"/>
        </w:rPr>
        <w:t xml:space="preserve"> (</w:t>
      </w:r>
      <w:r w:rsidRPr="007B59D1">
        <w:rPr>
          <w:lang w:val="pl-PL"/>
        </w:rPr>
        <w:t xml:space="preserve">art. </w:t>
      </w:r>
      <w:r w:rsidR="000D3A7D" w:rsidRPr="007B59D1">
        <w:rPr>
          <w:lang w:val="pl-PL"/>
        </w:rPr>
        <w:t xml:space="preserve">5.6.1 </w:t>
      </w:r>
      <w:r w:rsidRPr="007B59D1">
        <w:rPr>
          <w:lang w:val="pl-PL"/>
        </w:rPr>
        <w:t xml:space="preserve">lit. </w:t>
      </w:r>
      <w:r w:rsidR="000D3A7D" w:rsidRPr="007B59D1">
        <w:rPr>
          <w:lang w:val="pl-PL"/>
        </w:rPr>
        <w:t>(m)</w:t>
      </w:r>
      <w:r w:rsidRPr="007B59D1">
        <w:rPr>
          <w:lang w:val="pl-PL"/>
        </w:rPr>
        <w:t xml:space="preserve"> </w:t>
      </w:r>
      <w:r w:rsidR="005A62D3" w:rsidRPr="007B59D1">
        <w:rPr>
          <w:lang w:val="pl-PL"/>
        </w:rPr>
        <w:t>Regulacji</w:t>
      </w:r>
      <w:r w:rsidR="007B59D1" w:rsidRPr="007B59D1">
        <w:t xml:space="preserve"> z </w:t>
      </w:r>
      <w:proofErr w:type="spellStart"/>
      <w:r w:rsidR="007B59D1" w:rsidRPr="007B59D1">
        <w:t>zastrzeżeniem</w:t>
      </w:r>
      <w:proofErr w:type="spellEnd"/>
      <w:r w:rsidR="007B59D1" w:rsidRPr="007B59D1">
        <w:t xml:space="preserve"> </w:t>
      </w:r>
      <w:proofErr w:type="spellStart"/>
      <w:r w:rsidR="007B59D1" w:rsidRPr="007B59D1">
        <w:t>k</w:t>
      </w:r>
      <w:r w:rsidR="007B59D1">
        <w:t>rajowych</w:t>
      </w:r>
      <w:proofErr w:type="spellEnd"/>
      <w:r w:rsidR="007B59D1">
        <w:t xml:space="preserve"> </w:t>
      </w:r>
      <w:proofErr w:type="spellStart"/>
      <w:r w:rsidR="007B59D1">
        <w:t>przepisów</w:t>
      </w:r>
      <w:proofErr w:type="spellEnd"/>
      <w:r w:rsidR="007B59D1">
        <w:t xml:space="preserve"> </w:t>
      </w:r>
      <w:proofErr w:type="spellStart"/>
      <w:r w:rsidR="007B59D1">
        <w:t>rachunkowych</w:t>
      </w:r>
      <w:proofErr w:type="spellEnd"/>
      <w:r w:rsidR="007B59D1">
        <w:t>).</w:t>
      </w:r>
    </w:p>
    <w:p w:rsidR="007B59D1" w:rsidRPr="007B59D1" w:rsidRDefault="007B59D1" w:rsidP="00F976D6">
      <w:pPr>
        <w:pStyle w:val="Akapitzlist"/>
        <w:ind w:left="284"/>
        <w:rPr>
          <w:lang w:val="pl-PL"/>
        </w:rPr>
      </w:pPr>
    </w:p>
    <w:p w:rsidR="00892A82" w:rsidRPr="00767038" w:rsidRDefault="00E3549C" w:rsidP="00376576">
      <w:pPr>
        <w:rPr>
          <w:lang w:val="pl-PL"/>
        </w:rPr>
      </w:pPr>
      <w:r w:rsidRPr="00767038">
        <w:rPr>
          <w:lang w:val="pl-PL"/>
        </w:rPr>
        <w:t xml:space="preserve">IC </w:t>
      </w:r>
      <w:r w:rsidR="003A6DB3" w:rsidRPr="00767038">
        <w:rPr>
          <w:lang w:val="pl-PL"/>
        </w:rPr>
        <w:t xml:space="preserve">zgłasza </w:t>
      </w:r>
      <w:r w:rsidRPr="00767038">
        <w:rPr>
          <w:lang w:val="pl-PL"/>
        </w:rPr>
        <w:t xml:space="preserve">corocznie </w:t>
      </w:r>
      <w:r w:rsidR="003A6DB3" w:rsidRPr="00767038">
        <w:rPr>
          <w:lang w:val="pl-PL"/>
        </w:rPr>
        <w:t xml:space="preserve">wszelkie wygenerowane </w:t>
      </w:r>
      <w:r w:rsidRPr="00767038">
        <w:rPr>
          <w:lang w:val="pl-PL"/>
        </w:rPr>
        <w:t xml:space="preserve">odsetki </w:t>
      </w:r>
      <w:r w:rsidR="003A6DB3" w:rsidRPr="00767038">
        <w:rPr>
          <w:lang w:val="pl-PL"/>
        </w:rPr>
        <w:t xml:space="preserve">za pośrednictwem </w:t>
      </w:r>
      <w:r w:rsidRPr="00767038">
        <w:rPr>
          <w:lang w:val="pl-PL"/>
        </w:rPr>
        <w:t>F</w:t>
      </w:r>
      <w:r w:rsidR="003A6DB3" w:rsidRPr="00767038">
        <w:rPr>
          <w:lang w:val="pl-PL"/>
        </w:rPr>
        <w:t>inansowego raportu okresowego,</w:t>
      </w:r>
      <w:r w:rsidRPr="00767038">
        <w:rPr>
          <w:lang w:val="pl-PL"/>
        </w:rPr>
        <w:t xml:space="preserve"> po zweryfikowaniu poprawności deklarowanych odsetek</w:t>
      </w:r>
      <w:r w:rsidR="00234E0D" w:rsidRPr="00767038">
        <w:rPr>
          <w:lang w:val="pl-PL"/>
        </w:rPr>
        <w:t>.</w:t>
      </w:r>
      <w:r w:rsidRPr="00767038">
        <w:rPr>
          <w:lang w:val="pl-PL"/>
        </w:rPr>
        <w:t xml:space="preserve"> W saldzie końcowym </w:t>
      </w:r>
      <w:r w:rsidR="00E940A6" w:rsidRPr="00767038">
        <w:rPr>
          <w:lang w:val="pl-PL"/>
        </w:rPr>
        <w:t xml:space="preserve">zgłasza się </w:t>
      </w:r>
      <w:r w:rsidRPr="00767038">
        <w:rPr>
          <w:lang w:val="pl-PL"/>
        </w:rPr>
        <w:t xml:space="preserve">całkowite odsetki </w:t>
      </w:r>
      <w:r w:rsidR="003A6DB3" w:rsidRPr="00767038">
        <w:rPr>
          <w:lang w:val="pl-PL"/>
        </w:rPr>
        <w:t xml:space="preserve">wygenerowane </w:t>
      </w:r>
      <w:r w:rsidRPr="00767038">
        <w:rPr>
          <w:lang w:val="pl-PL"/>
        </w:rPr>
        <w:t>do cza</w:t>
      </w:r>
      <w:r w:rsidR="00E940A6" w:rsidRPr="00767038">
        <w:rPr>
          <w:lang w:val="pl-PL"/>
        </w:rPr>
        <w:t xml:space="preserve">su przesłania </w:t>
      </w:r>
      <w:r w:rsidR="003A6DB3" w:rsidRPr="00767038">
        <w:rPr>
          <w:lang w:val="pl-PL"/>
        </w:rPr>
        <w:t>Raportu końcowego dla programu</w:t>
      </w:r>
      <w:r w:rsidR="00E940A6" w:rsidRPr="00767038">
        <w:rPr>
          <w:lang w:val="pl-PL"/>
        </w:rPr>
        <w:t xml:space="preserve"> i wylicza się je jako element salda końcowego (por. pkt 4.1 Saldo końcowe</w:t>
      </w:r>
      <w:r w:rsidR="00234E0D" w:rsidRPr="00767038">
        <w:rPr>
          <w:lang w:val="pl-PL"/>
        </w:rPr>
        <w:t>).</w:t>
      </w:r>
    </w:p>
    <w:p w:rsidR="0059705F" w:rsidRPr="00767038" w:rsidRDefault="00BF53EF" w:rsidP="00376576">
      <w:pPr>
        <w:rPr>
          <w:lang w:val="pl-PL"/>
        </w:rPr>
      </w:pPr>
      <w:r w:rsidRPr="00767038">
        <w:rPr>
          <w:lang w:val="pl-PL"/>
        </w:rPr>
        <w:t>Państwa</w:t>
      </w:r>
      <w:r w:rsidR="003A6DB3" w:rsidRPr="00767038">
        <w:rPr>
          <w:lang w:val="pl-PL"/>
        </w:rPr>
        <w:t xml:space="preserve">-Beneficjenci, </w:t>
      </w:r>
      <w:r w:rsidRPr="00767038">
        <w:rPr>
          <w:lang w:val="pl-PL"/>
        </w:rPr>
        <w:t>któr</w:t>
      </w:r>
      <w:r w:rsidR="003A6DB3" w:rsidRPr="00767038">
        <w:rPr>
          <w:lang w:val="pl-PL"/>
        </w:rPr>
        <w:t>zy</w:t>
      </w:r>
      <w:r w:rsidRPr="00767038">
        <w:rPr>
          <w:lang w:val="pl-PL"/>
        </w:rPr>
        <w:t xml:space="preserve"> nie </w:t>
      </w:r>
      <w:r w:rsidR="00A35E94" w:rsidRPr="00767038">
        <w:rPr>
          <w:lang w:val="pl-PL"/>
        </w:rPr>
        <w:t>posiadają</w:t>
      </w:r>
      <w:r w:rsidR="003A6DB3" w:rsidRPr="00767038">
        <w:rPr>
          <w:lang w:val="pl-PL"/>
        </w:rPr>
        <w:t xml:space="preserve"> </w:t>
      </w:r>
      <w:r w:rsidR="00A35E94" w:rsidRPr="00767038">
        <w:rPr>
          <w:lang w:val="pl-PL"/>
        </w:rPr>
        <w:t>euro, jako</w:t>
      </w:r>
      <w:r w:rsidR="003A6DB3" w:rsidRPr="00767038">
        <w:rPr>
          <w:lang w:val="pl-PL"/>
        </w:rPr>
        <w:t xml:space="preserve"> swojej </w:t>
      </w:r>
      <w:r w:rsidRPr="00767038">
        <w:rPr>
          <w:lang w:val="pl-PL"/>
        </w:rPr>
        <w:t xml:space="preserve">waluty i korzystają z rachunków w walucie krajowej, przeliczają </w:t>
      </w:r>
      <w:r w:rsidR="003A6DB3" w:rsidRPr="00767038">
        <w:rPr>
          <w:lang w:val="pl-PL"/>
        </w:rPr>
        <w:t xml:space="preserve">narosłe </w:t>
      </w:r>
      <w:r w:rsidRPr="00767038">
        <w:rPr>
          <w:lang w:val="pl-PL"/>
        </w:rPr>
        <w:t xml:space="preserve">odsetki na euro według średniego miesięcznego kursu księgowego </w:t>
      </w:r>
      <w:r w:rsidR="003A6DB3" w:rsidRPr="00767038">
        <w:rPr>
          <w:lang w:val="pl-PL"/>
        </w:rPr>
        <w:t xml:space="preserve">wymiany </w:t>
      </w:r>
      <w:r w:rsidRPr="00767038">
        <w:rPr>
          <w:lang w:val="pl-PL"/>
        </w:rPr>
        <w:t>Komisji Europejskiej</w:t>
      </w:r>
      <w:r w:rsidR="0059705F" w:rsidRPr="00767038">
        <w:rPr>
          <w:lang w:val="pl-PL"/>
        </w:rPr>
        <w:t xml:space="preserve">. </w:t>
      </w:r>
    </w:p>
    <w:p w:rsidR="005D4A0C" w:rsidRPr="00767038" w:rsidRDefault="00BF53EF" w:rsidP="00A0039A">
      <w:pPr>
        <w:pStyle w:val="Nagwek2"/>
        <w:rPr>
          <w:lang w:val="pl-PL"/>
        </w:rPr>
      </w:pPr>
      <w:bookmarkStart w:id="105" w:name="_Toc505238519"/>
      <w:r w:rsidRPr="00767038">
        <w:rPr>
          <w:iCs/>
          <w:lang w:val="pl-PL"/>
        </w:rPr>
        <w:lastRenderedPageBreak/>
        <w:t>Pro</w:t>
      </w:r>
      <w:r w:rsidR="00C64D70" w:rsidRPr="00767038">
        <w:rPr>
          <w:iCs/>
          <w:lang w:val="pl-PL"/>
        </w:rPr>
        <w:t xml:space="preserve">gnoza dotycząca planowanych przyszłych </w:t>
      </w:r>
      <w:r w:rsidRPr="00767038">
        <w:rPr>
          <w:iCs/>
          <w:lang w:val="pl-PL"/>
        </w:rPr>
        <w:t>płatnoś</w:t>
      </w:r>
      <w:r w:rsidR="00C64D70" w:rsidRPr="00767038">
        <w:rPr>
          <w:iCs/>
          <w:lang w:val="pl-PL"/>
        </w:rPr>
        <w:t>ci dla programów</w:t>
      </w:r>
      <w:r w:rsidRPr="00767038">
        <w:rPr>
          <w:iCs/>
          <w:lang w:val="pl-PL"/>
        </w:rPr>
        <w:t xml:space="preserve"> (art. </w:t>
      </w:r>
      <w:r w:rsidR="005D4A0C" w:rsidRPr="00767038">
        <w:rPr>
          <w:iCs/>
          <w:lang w:val="pl-PL"/>
        </w:rPr>
        <w:t>9.5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5D4A0C" w:rsidRPr="00767038">
        <w:rPr>
          <w:iCs/>
          <w:lang w:val="pl-PL"/>
        </w:rPr>
        <w:t>)</w:t>
      </w:r>
      <w:bookmarkEnd w:id="105"/>
    </w:p>
    <w:p w:rsidR="009229B6" w:rsidRPr="00767038" w:rsidRDefault="00BF53EF" w:rsidP="00E74DEC">
      <w:pPr>
        <w:keepNext/>
        <w:keepLines/>
        <w:rPr>
          <w:lang w:val="pl-PL"/>
        </w:rPr>
      </w:pPr>
      <w:r w:rsidRPr="00767038">
        <w:rPr>
          <w:lang w:val="pl-PL"/>
        </w:rPr>
        <w:t xml:space="preserve">Zgodnie z art. 9.5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cztery razy w roku </w:t>
      </w:r>
      <w:r w:rsidR="00C64D70" w:rsidRPr="00767038">
        <w:rPr>
          <w:lang w:val="pl-PL"/>
        </w:rPr>
        <w:t xml:space="preserve">do </w:t>
      </w:r>
      <w:r w:rsidRPr="00767038">
        <w:rPr>
          <w:lang w:val="pl-PL"/>
        </w:rPr>
        <w:t>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przedkłada się </w:t>
      </w:r>
      <w:r w:rsidR="00C64D70" w:rsidRPr="00767038">
        <w:rPr>
          <w:lang w:val="pl-PL"/>
        </w:rPr>
        <w:t>prognozy dotyczące planowanych przyszłych płatności dla programów</w:t>
      </w:r>
      <w:r w:rsidRPr="00767038">
        <w:rPr>
          <w:lang w:val="pl-PL"/>
        </w:rPr>
        <w:t>. Aktualne pro</w:t>
      </w:r>
      <w:r w:rsidR="00C64D70" w:rsidRPr="00767038">
        <w:rPr>
          <w:lang w:val="pl-PL"/>
        </w:rPr>
        <w:t>gnozy</w:t>
      </w:r>
      <w:r w:rsidRPr="00767038">
        <w:rPr>
          <w:lang w:val="pl-PL"/>
        </w:rPr>
        <w:t xml:space="preserve"> </w:t>
      </w:r>
      <w:r w:rsidR="00C64D70" w:rsidRPr="00767038">
        <w:rPr>
          <w:lang w:val="pl-PL"/>
        </w:rPr>
        <w:t xml:space="preserve">należy </w:t>
      </w:r>
      <w:r w:rsidRPr="00767038">
        <w:rPr>
          <w:lang w:val="pl-PL"/>
        </w:rPr>
        <w:t>przesła</w:t>
      </w:r>
      <w:r w:rsidR="00C64D70" w:rsidRPr="00767038">
        <w:rPr>
          <w:lang w:val="pl-PL"/>
        </w:rPr>
        <w:t>ć</w:t>
      </w:r>
      <w:r w:rsidRPr="00767038">
        <w:rPr>
          <w:lang w:val="pl-PL"/>
        </w:rPr>
        <w:t xml:space="preserve"> nie później niż do dnia 20 lutego, 20 kwietnia, 20 września i 20 listopada każdego roku</w:t>
      </w:r>
      <w:r w:rsidR="009229B6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IC przesyła </w:t>
      </w:r>
      <w:r w:rsidR="00C64D70" w:rsidRPr="00767038">
        <w:rPr>
          <w:lang w:val="pl-PL"/>
        </w:rPr>
        <w:t xml:space="preserve">uzasadnione prognozy dla Państwa-Beneficjenta </w:t>
      </w:r>
      <w:r w:rsidRPr="00767038">
        <w:rPr>
          <w:lang w:val="pl-PL"/>
        </w:rPr>
        <w:t xml:space="preserve">w formie </w:t>
      </w:r>
      <w:r w:rsidR="00C64D70" w:rsidRPr="00767038">
        <w:rPr>
          <w:lang w:val="pl-PL"/>
        </w:rPr>
        <w:t>przewidzianej</w:t>
      </w:r>
      <w:r w:rsidRPr="00767038">
        <w:rPr>
          <w:lang w:val="pl-PL"/>
        </w:rPr>
        <w:t xml:space="preserve"> przez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(załącznik 8 do </w:t>
      </w:r>
      <w:r w:rsidR="00A35E94" w:rsidRPr="00767038">
        <w:rPr>
          <w:lang w:val="pl-PL"/>
        </w:rPr>
        <w:t xml:space="preserve">Regulacji). </w:t>
      </w:r>
      <w:r w:rsidRPr="00767038">
        <w:rPr>
          <w:lang w:val="pl-PL"/>
        </w:rPr>
        <w:t xml:space="preserve">Zgodnie z art. </w:t>
      </w:r>
      <w:r w:rsidR="009229B6" w:rsidRPr="00767038">
        <w:rPr>
          <w:lang w:val="pl-PL"/>
        </w:rPr>
        <w:t xml:space="preserve">5.6.1 </w:t>
      </w:r>
      <w:r w:rsidRPr="00767038">
        <w:rPr>
          <w:lang w:val="pl-PL"/>
        </w:rPr>
        <w:t xml:space="preserve">lit. </w:t>
      </w:r>
      <w:r w:rsidR="009229B6" w:rsidRPr="00767038">
        <w:rPr>
          <w:lang w:val="pl-PL"/>
        </w:rPr>
        <w:t>(r)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jednym z obowiązków </w:t>
      </w:r>
      <w:r w:rsidR="00315981" w:rsidRPr="00767038">
        <w:rPr>
          <w:lang w:val="pl-PL"/>
        </w:rPr>
        <w:t>Operator</w:t>
      </w:r>
      <w:r w:rsidR="00C64D70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jest przesłanie aktualnych </w:t>
      </w:r>
      <w:r w:rsidR="00C64D70" w:rsidRPr="00767038">
        <w:rPr>
          <w:lang w:val="pl-PL"/>
        </w:rPr>
        <w:t xml:space="preserve">prognoz </w:t>
      </w:r>
      <w:r w:rsidRPr="00767038">
        <w:rPr>
          <w:lang w:val="pl-PL"/>
        </w:rPr>
        <w:t xml:space="preserve">do IC, jako że IC potrzebuje ich w celu wykonania swoich obowiązków, o których mowa w art. </w:t>
      </w:r>
      <w:r w:rsidR="009229B6" w:rsidRPr="00767038">
        <w:rPr>
          <w:lang w:val="pl-PL"/>
        </w:rPr>
        <w:t>9.5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9229B6" w:rsidRPr="00767038">
        <w:rPr>
          <w:lang w:val="pl-PL"/>
        </w:rPr>
        <w:t xml:space="preserve">. </w:t>
      </w:r>
    </w:p>
    <w:p w:rsidR="009229B6" w:rsidRPr="00767038" w:rsidRDefault="00997834" w:rsidP="00376576">
      <w:pPr>
        <w:rPr>
          <w:lang w:val="pl-PL"/>
        </w:rPr>
      </w:pPr>
      <w:r w:rsidRPr="00767038">
        <w:rPr>
          <w:lang w:val="pl-PL"/>
        </w:rPr>
        <w:t xml:space="preserve">Przygotowując i przesyłając </w:t>
      </w:r>
      <w:r w:rsidR="00C64D70" w:rsidRPr="00767038">
        <w:rPr>
          <w:lang w:val="pl-PL"/>
        </w:rPr>
        <w:t>prognoz</w:t>
      </w:r>
      <w:r w:rsidR="00775E02">
        <w:rPr>
          <w:lang w:val="pl-PL"/>
        </w:rPr>
        <w:t>y</w:t>
      </w:r>
      <w:r w:rsidRPr="00767038">
        <w:rPr>
          <w:lang w:val="pl-PL"/>
        </w:rPr>
        <w:t>, należy przestrzegać następujących punktów</w:t>
      </w:r>
      <w:r w:rsidR="009229B6" w:rsidRPr="00767038">
        <w:rPr>
          <w:lang w:val="pl-PL"/>
        </w:rPr>
        <w:t>:</w:t>
      </w:r>
    </w:p>
    <w:p w:rsidR="009229B6" w:rsidRPr="00767038" w:rsidRDefault="00997834" w:rsidP="00C64D70">
      <w:pPr>
        <w:pStyle w:val="Akapitzlist"/>
        <w:numPr>
          <w:ilvl w:val="0"/>
          <w:numId w:val="10"/>
        </w:numPr>
        <w:rPr>
          <w:lang w:val="pl-PL"/>
        </w:rPr>
      </w:pPr>
      <w:r w:rsidRPr="00767038">
        <w:rPr>
          <w:lang w:val="pl-PL"/>
        </w:rPr>
        <w:t xml:space="preserve">w trakcie bieżącego roku należy przesłać </w:t>
      </w:r>
      <w:r w:rsidR="00C64D70" w:rsidRPr="00767038">
        <w:rPr>
          <w:lang w:val="pl-PL"/>
        </w:rPr>
        <w:t>prognozę zawierającą</w:t>
      </w:r>
      <w:r w:rsidRPr="00767038">
        <w:rPr>
          <w:lang w:val="pl-PL"/>
        </w:rPr>
        <w:t xml:space="preserve"> całkowitą szacunkową płatność na dany rok, któr</w:t>
      </w:r>
      <w:r w:rsidR="00C64D70" w:rsidRPr="00767038">
        <w:rPr>
          <w:lang w:val="pl-PL"/>
        </w:rPr>
        <w:t>a</w:t>
      </w:r>
      <w:r w:rsidRPr="00767038">
        <w:rPr>
          <w:lang w:val="pl-PL"/>
        </w:rPr>
        <w:t xml:space="preserve"> uwzględnia kwoty wypłacone w ciągu roku</w:t>
      </w:r>
      <w:r w:rsidR="009229B6" w:rsidRPr="00767038">
        <w:rPr>
          <w:lang w:val="pl-PL"/>
        </w:rPr>
        <w:t>;</w:t>
      </w:r>
    </w:p>
    <w:p w:rsidR="009229B6" w:rsidRPr="00767038" w:rsidRDefault="00C64D70" w:rsidP="00C64D70">
      <w:pPr>
        <w:pStyle w:val="Akapitzlist"/>
        <w:numPr>
          <w:ilvl w:val="0"/>
          <w:numId w:val="10"/>
        </w:numPr>
        <w:rPr>
          <w:lang w:val="pl-PL"/>
        </w:rPr>
      </w:pPr>
      <w:r w:rsidRPr="00767038">
        <w:rPr>
          <w:lang w:val="pl-PL"/>
        </w:rPr>
        <w:t xml:space="preserve">prognoza </w:t>
      </w:r>
      <w:r w:rsidR="00997834" w:rsidRPr="00767038">
        <w:rPr>
          <w:lang w:val="pl-PL"/>
        </w:rPr>
        <w:t>powinn</w:t>
      </w:r>
      <w:r w:rsidRPr="00767038">
        <w:rPr>
          <w:lang w:val="pl-PL"/>
        </w:rPr>
        <w:t>a</w:t>
      </w:r>
      <w:r w:rsidR="00997834" w:rsidRPr="00767038">
        <w:rPr>
          <w:lang w:val="pl-PL"/>
        </w:rPr>
        <w:t xml:space="preserve"> zawierać uzasadnienie, np. wyjaśnienie zmian w porównaniu z poprzednimi pro</w:t>
      </w:r>
      <w:r w:rsidRPr="00767038">
        <w:rPr>
          <w:lang w:val="pl-PL"/>
        </w:rPr>
        <w:t>gnozami</w:t>
      </w:r>
      <w:r w:rsidR="009229B6" w:rsidRPr="00767038">
        <w:rPr>
          <w:lang w:val="pl-PL"/>
        </w:rPr>
        <w:t>;</w:t>
      </w:r>
    </w:p>
    <w:p w:rsidR="009229B6" w:rsidRPr="00767038" w:rsidRDefault="00C64D70" w:rsidP="00C64D70">
      <w:pPr>
        <w:pStyle w:val="Akapitzlist"/>
        <w:numPr>
          <w:ilvl w:val="0"/>
          <w:numId w:val="10"/>
        </w:numPr>
        <w:rPr>
          <w:lang w:val="pl-PL"/>
        </w:rPr>
      </w:pPr>
      <w:r w:rsidRPr="00767038">
        <w:rPr>
          <w:lang w:val="pl-PL"/>
        </w:rPr>
        <w:t xml:space="preserve">prognoza </w:t>
      </w:r>
      <w:r w:rsidR="00997834" w:rsidRPr="00767038">
        <w:rPr>
          <w:lang w:val="pl-PL"/>
        </w:rPr>
        <w:t>powinn</w:t>
      </w:r>
      <w:r w:rsidRPr="00767038">
        <w:rPr>
          <w:lang w:val="pl-PL"/>
        </w:rPr>
        <w:t>a</w:t>
      </w:r>
      <w:r w:rsidR="00997834" w:rsidRPr="00767038">
        <w:rPr>
          <w:lang w:val="pl-PL"/>
        </w:rPr>
        <w:t xml:space="preserve"> </w:t>
      </w:r>
      <w:r w:rsidRPr="00767038">
        <w:rPr>
          <w:lang w:val="pl-PL"/>
        </w:rPr>
        <w:t>być przygotowana w rozbiciu na poszczególne programy i lata, z uwzględnieniem bieżącego roku</w:t>
      </w:r>
      <w:r w:rsidR="009229B6" w:rsidRPr="00767038">
        <w:rPr>
          <w:lang w:val="pl-PL"/>
        </w:rPr>
        <w:t>;</w:t>
      </w:r>
    </w:p>
    <w:p w:rsidR="00BD4365" w:rsidRDefault="00997834" w:rsidP="00C64D70">
      <w:pPr>
        <w:pStyle w:val="Akapitzlist"/>
        <w:numPr>
          <w:ilvl w:val="0"/>
          <w:numId w:val="10"/>
        </w:numPr>
        <w:rPr>
          <w:lang w:val="pl-PL"/>
        </w:rPr>
      </w:pPr>
      <w:r w:rsidRPr="00767038">
        <w:rPr>
          <w:lang w:val="pl-PL"/>
        </w:rPr>
        <w:t xml:space="preserve">wszystkie </w:t>
      </w:r>
      <w:r w:rsidR="00C64D70" w:rsidRPr="00767038">
        <w:rPr>
          <w:lang w:val="pl-PL"/>
        </w:rPr>
        <w:t xml:space="preserve">prognozy </w:t>
      </w:r>
      <w:r w:rsidRPr="00767038">
        <w:rPr>
          <w:lang w:val="pl-PL"/>
        </w:rPr>
        <w:t>powinny być aktualne i dokładnie zweryfikowane, ponieważ mają istotne znaczenie dla KMF/</w:t>
      </w:r>
      <w:r w:rsidR="00C604D9" w:rsidRPr="00767038">
        <w:rPr>
          <w:lang w:val="pl-PL"/>
        </w:rPr>
        <w:t>NMSZ</w:t>
      </w:r>
      <w:r w:rsidR="009229B6" w:rsidRPr="00767038">
        <w:rPr>
          <w:lang w:val="pl-PL"/>
        </w:rPr>
        <w:t>.</w:t>
      </w:r>
    </w:p>
    <w:p w:rsidR="00DF6C58" w:rsidRPr="00767038" w:rsidRDefault="00DF6C58" w:rsidP="00DF6C58">
      <w:pPr>
        <w:pStyle w:val="Akapitzlist"/>
        <w:ind w:left="284"/>
        <w:rPr>
          <w:lang w:val="pl-PL"/>
        </w:rPr>
      </w:pPr>
    </w:p>
    <w:p w:rsidR="00331D94" w:rsidRPr="00767038" w:rsidRDefault="002D304C" w:rsidP="00A0039A">
      <w:pPr>
        <w:pStyle w:val="Nagwek2"/>
        <w:rPr>
          <w:lang w:val="pl-PL"/>
        </w:rPr>
      </w:pPr>
      <w:bookmarkStart w:id="106" w:name="_Toc505238520"/>
      <w:r w:rsidRPr="00767038">
        <w:rPr>
          <w:iCs/>
          <w:lang w:val="pl-PL"/>
        </w:rPr>
        <w:t xml:space="preserve">Udział </w:t>
      </w:r>
      <w:r w:rsidR="00FE15CA" w:rsidRPr="00767038">
        <w:rPr>
          <w:iCs/>
          <w:lang w:val="pl-PL"/>
        </w:rPr>
        <w:t>partnerów programów</w:t>
      </w:r>
      <w:r w:rsidRPr="00767038">
        <w:rPr>
          <w:iCs/>
          <w:lang w:val="pl-PL"/>
        </w:rPr>
        <w:t xml:space="preserve"> i </w:t>
      </w:r>
      <w:r w:rsidR="00FE15CA" w:rsidRPr="00767038">
        <w:rPr>
          <w:iCs/>
          <w:lang w:val="pl-PL"/>
        </w:rPr>
        <w:t>międzynarodowych organizacji partnerskich (</w:t>
      </w:r>
      <w:r w:rsidRPr="00767038">
        <w:rPr>
          <w:iCs/>
          <w:lang w:val="pl-PL"/>
        </w:rPr>
        <w:t>MOP</w:t>
      </w:r>
      <w:r w:rsidR="00FE15CA" w:rsidRPr="00767038">
        <w:rPr>
          <w:iCs/>
          <w:lang w:val="pl-PL"/>
        </w:rPr>
        <w:t>)</w:t>
      </w:r>
      <w:r w:rsidRPr="00767038">
        <w:rPr>
          <w:iCs/>
          <w:lang w:val="pl-PL"/>
        </w:rPr>
        <w:t xml:space="preserve"> w programach lub projektach</w:t>
      </w:r>
      <w:bookmarkEnd w:id="106"/>
    </w:p>
    <w:p w:rsidR="004137F1" w:rsidRPr="00767038" w:rsidRDefault="00997834" w:rsidP="00376576">
      <w:pPr>
        <w:rPr>
          <w:lang w:val="pl-PL"/>
        </w:rPr>
      </w:pPr>
      <w:r w:rsidRPr="00767038">
        <w:rPr>
          <w:lang w:val="pl-PL"/>
        </w:rPr>
        <w:t>Partnerzy programów</w:t>
      </w:r>
      <w:r w:rsidR="00FE15CA" w:rsidRPr="00767038">
        <w:rPr>
          <w:lang w:val="pl-PL"/>
        </w:rPr>
        <w:t xml:space="preserve"> z Państw-Darczyńców</w:t>
      </w:r>
      <w:r w:rsidRPr="00767038">
        <w:rPr>
          <w:lang w:val="pl-PL"/>
        </w:rPr>
        <w:t xml:space="preserve"> i międzynarodowe organizacje </w:t>
      </w:r>
      <w:r w:rsidR="00A35E94" w:rsidRPr="00767038">
        <w:rPr>
          <w:lang w:val="pl-PL"/>
        </w:rPr>
        <w:t>partnerskie są</w:t>
      </w:r>
      <w:r w:rsidRPr="00767038">
        <w:rPr>
          <w:lang w:val="pl-PL"/>
        </w:rPr>
        <w:t xml:space="preserve"> organizacjami zaangażowanymi w realizację programów, w ramach których współpracują z </w:t>
      </w:r>
      <w:r w:rsidR="00315981" w:rsidRPr="00767038">
        <w:rPr>
          <w:lang w:val="pl-PL"/>
        </w:rPr>
        <w:t>Operator</w:t>
      </w:r>
      <w:r w:rsidR="00FE15CA" w:rsidRPr="00767038">
        <w:rPr>
          <w:lang w:val="pl-PL"/>
        </w:rPr>
        <w:t>em</w:t>
      </w:r>
      <w:r w:rsidR="00315981" w:rsidRPr="00767038">
        <w:rPr>
          <w:lang w:val="pl-PL"/>
        </w:rPr>
        <w:t xml:space="preserve"> Programu</w:t>
      </w:r>
      <w:r w:rsidR="00121AEC" w:rsidRPr="00767038">
        <w:rPr>
          <w:lang w:val="pl-PL"/>
        </w:rPr>
        <w:t xml:space="preserve">. </w:t>
      </w:r>
    </w:p>
    <w:p w:rsidR="004137F1" w:rsidRPr="00767038" w:rsidRDefault="00997834" w:rsidP="00376576">
      <w:pPr>
        <w:rPr>
          <w:lang w:val="pl-PL"/>
        </w:rPr>
      </w:pPr>
      <w:r w:rsidRPr="00767038">
        <w:rPr>
          <w:lang w:val="pl-PL"/>
        </w:rPr>
        <w:t>Koszty ponoszone przez partnerów programów</w:t>
      </w:r>
      <w:r w:rsidR="00FE15CA" w:rsidRPr="00767038">
        <w:rPr>
          <w:lang w:val="pl-PL"/>
        </w:rPr>
        <w:t xml:space="preserve"> z Państw-Darczyńców</w:t>
      </w:r>
      <w:r w:rsidRPr="00767038">
        <w:rPr>
          <w:lang w:val="pl-PL"/>
        </w:rPr>
        <w:t xml:space="preserve"> i międzynarodowe organizacje partnerskie, o których mowa w </w:t>
      </w:r>
      <w:r w:rsidR="00FE15CA" w:rsidRPr="00767038">
        <w:rPr>
          <w:lang w:val="pl-PL"/>
        </w:rPr>
        <w:t>Regulacjach</w:t>
      </w:r>
      <w:r w:rsidRPr="00767038">
        <w:rPr>
          <w:lang w:val="pl-PL"/>
        </w:rPr>
        <w:t xml:space="preserve">, będą pokrywane z kosztów </w:t>
      </w:r>
      <w:r w:rsidR="00FE15CA" w:rsidRPr="00767038">
        <w:rPr>
          <w:lang w:val="pl-PL"/>
        </w:rPr>
        <w:t>P</w:t>
      </w:r>
      <w:r w:rsidRPr="00767038">
        <w:rPr>
          <w:lang w:val="pl-PL"/>
        </w:rPr>
        <w:t>aństw-</w:t>
      </w:r>
      <w:r w:rsidR="00FE15CA" w:rsidRPr="00767038">
        <w:rPr>
          <w:lang w:val="pl-PL"/>
        </w:rPr>
        <w:t>D</w:t>
      </w:r>
      <w:r w:rsidRPr="00767038">
        <w:rPr>
          <w:lang w:val="pl-PL"/>
        </w:rPr>
        <w:t>arczyńców i BMF zawrze umowę z takimi organizacjami w celu pokrycia ich kosztów</w:t>
      </w:r>
      <w:r w:rsidR="005E3010" w:rsidRPr="00767038">
        <w:rPr>
          <w:lang w:val="pl-PL"/>
        </w:rPr>
        <w:t xml:space="preserve">. </w:t>
      </w:r>
    </w:p>
    <w:p w:rsidR="00C27F98" w:rsidRPr="00767038" w:rsidRDefault="00FE15CA" w:rsidP="00376576">
      <w:pPr>
        <w:rPr>
          <w:lang w:val="pl-PL"/>
        </w:rPr>
      </w:pPr>
      <w:r w:rsidRPr="00767038">
        <w:rPr>
          <w:lang w:val="pl-PL"/>
        </w:rPr>
        <w:t>Partnerzy programów z Państw-Darczyńców i międzynarodowe organizacje partnerskie</w:t>
      </w:r>
      <w:r w:rsidRPr="00767038" w:rsidDel="00FE15CA">
        <w:rPr>
          <w:lang w:val="pl-PL"/>
        </w:rPr>
        <w:t xml:space="preserve"> </w:t>
      </w:r>
      <w:r w:rsidR="00997834" w:rsidRPr="00767038">
        <w:rPr>
          <w:lang w:val="pl-PL"/>
        </w:rPr>
        <w:t xml:space="preserve">mogą kwalifikować się w odniesieniu do części kosztów zarządzania </w:t>
      </w:r>
      <w:r w:rsidR="00315981" w:rsidRPr="00767038">
        <w:rPr>
          <w:lang w:val="pl-PL"/>
        </w:rPr>
        <w:t>Operator</w:t>
      </w:r>
      <w:r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997834" w:rsidRPr="00767038">
        <w:rPr>
          <w:lang w:val="pl-PL"/>
        </w:rPr>
        <w:t xml:space="preserve">, w szczególności w </w:t>
      </w:r>
      <w:r w:rsidR="002D304C" w:rsidRPr="00767038">
        <w:rPr>
          <w:lang w:val="pl-PL"/>
        </w:rPr>
        <w:t xml:space="preserve">zakresie działań służących wzmacnianiu stosunków dwustronnych i dzieleniu się doświadczeniami (art. </w:t>
      </w:r>
      <w:r w:rsidR="004137F1" w:rsidRPr="00767038">
        <w:rPr>
          <w:lang w:val="pl-PL"/>
        </w:rPr>
        <w:t xml:space="preserve">8.10.3 </w:t>
      </w:r>
      <w:r w:rsidR="002D304C" w:rsidRPr="00767038">
        <w:rPr>
          <w:lang w:val="pl-PL"/>
        </w:rPr>
        <w:t xml:space="preserve">lit. </w:t>
      </w:r>
      <w:r w:rsidR="004137F1" w:rsidRPr="00767038">
        <w:rPr>
          <w:lang w:val="pl-PL"/>
        </w:rPr>
        <w:t>(m)/(n)</w:t>
      </w:r>
      <w:r w:rsidR="002D304C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4137F1" w:rsidRPr="00767038">
        <w:rPr>
          <w:lang w:val="pl-PL"/>
        </w:rPr>
        <w:t xml:space="preserve">). </w:t>
      </w:r>
      <w:r w:rsidR="002D304C" w:rsidRPr="00767038">
        <w:rPr>
          <w:lang w:val="pl-PL"/>
        </w:rPr>
        <w:t xml:space="preserve">W tym przypadku </w:t>
      </w:r>
      <w:r w:rsidRPr="00767038">
        <w:rPr>
          <w:lang w:val="pl-PL"/>
        </w:rPr>
        <w:t>partnerzy programów z Państw-Darczyńców i międzynarodowe organizacje partnerskie</w:t>
      </w:r>
      <w:r w:rsidRPr="00767038" w:rsidDel="00FE15CA">
        <w:rPr>
          <w:lang w:val="pl-PL"/>
        </w:rPr>
        <w:t xml:space="preserve"> </w:t>
      </w:r>
      <w:r w:rsidR="002D304C" w:rsidRPr="00767038">
        <w:rPr>
          <w:lang w:val="pl-PL"/>
        </w:rPr>
        <w:t xml:space="preserve">będą zobowiązane do przedstawienia dowodów poniesienia wydatków zgodnie z wymaganiami </w:t>
      </w:r>
      <w:r w:rsidR="00315981" w:rsidRPr="00767038">
        <w:rPr>
          <w:lang w:val="pl-PL"/>
        </w:rPr>
        <w:t>Operator</w:t>
      </w:r>
      <w:r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2D304C" w:rsidRPr="00767038">
        <w:rPr>
          <w:lang w:val="pl-PL"/>
        </w:rPr>
        <w:t>/IC zgodnie</w:t>
      </w:r>
      <w:r w:rsidRPr="00767038">
        <w:rPr>
          <w:lang w:val="pl-PL"/>
        </w:rPr>
        <w:t xml:space="preserve"> z</w:t>
      </w:r>
      <w:r w:rsidR="002D304C" w:rsidRPr="00767038">
        <w:rPr>
          <w:lang w:val="pl-PL"/>
        </w:rPr>
        <w:t xml:space="preserve"> art. </w:t>
      </w:r>
      <w:r w:rsidR="004137F1" w:rsidRPr="00767038">
        <w:rPr>
          <w:lang w:val="pl-PL"/>
        </w:rPr>
        <w:t>8.12/13</w:t>
      </w:r>
      <w:r w:rsidR="002D304C"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4137F1" w:rsidRPr="00767038">
        <w:rPr>
          <w:lang w:val="pl-PL"/>
        </w:rPr>
        <w:t xml:space="preserve">. </w:t>
      </w:r>
      <w:r w:rsidR="009C17B9" w:rsidRPr="00767038">
        <w:rPr>
          <w:lang w:val="pl-PL"/>
        </w:rPr>
        <w:t xml:space="preserve">Ponadto partnerzy programów z Państw-Darczyńców i międzynarodowe organizacje </w:t>
      </w:r>
      <w:r w:rsidR="00A35E94" w:rsidRPr="00767038">
        <w:rPr>
          <w:lang w:val="pl-PL"/>
        </w:rPr>
        <w:t>partnerskie są</w:t>
      </w:r>
      <w:r w:rsidR="002D304C" w:rsidRPr="00767038">
        <w:rPr>
          <w:lang w:val="pl-PL"/>
        </w:rPr>
        <w:t xml:space="preserve"> kwalifik</w:t>
      </w:r>
      <w:r w:rsidR="009C17B9" w:rsidRPr="00767038">
        <w:rPr>
          <w:lang w:val="pl-PL"/>
        </w:rPr>
        <w:t>owalne w ramach</w:t>
      </w:r>
      <w:r w:rsidR="002D304C" w:rsidRPr="00767038">
        <w:rPr>
          <w:lang w:val="pl-PL"/>
        </w:rPr>
        <w:t xml:space="preserve"> Funduszu </w:t>
      </w:r>
      <w:r w:rsidR="00CF7749" w:rsidRPr="00767038">
        <w:rPr>
          <w:lang w:val="pl-PL"/>
        </w:rPr>
        <w:t>Współpracy</w:t>
      </w:r>
      <w:r w:rsidR="002D304C" w:rsidRPr="00767038">
        <w:rPr>
          <w:lang w:val="pl-PL"/>
        </w:rPr>
        <w:t xml:space="preserve"> </w:t>
      </w:r>
      <w:r w:rsidR="00CF7749" w:rsidRPr="00767038">
        <w:rPr>
          <w:lang w:val="pl-PL"/>
        </w:rPr>
        <w:t>Dwustronnej</w:t>
      </w:r>
      <w:r w:rsidR="004137F1" w:rsidRPr="00767038">
        <w:rPr>
          <w:lang w:val="pl-PL"/>
        </w:rPr>
        <w:t>.</w:t>
      </w:r>
    </w:p>
    <w:p w:rsidR="004137F1" w:rsidRDefault="002D304C" w:rsidP="00376576">
      <w:pPr>
        <w:rPr>
          <w:lang w:val="pl-PL"/>
        </w:rPr>
      </w:pPr>
      <w:r w:rsidRPr="00767038">
        <w:rPr>
          <w:lang w:val="pl-PL"/>
        </w:rPr>
        <w:t xml:space="preserve">Jeżeli </w:t>
      </w:r>
      <w:r w:rsidR="009C17B9" w:rsidRPr="00767038">
        <w:rPr>
          <w:lang w:val="pl-PL"/>
        </w:rPr>
        <w:t>partnerzy programów z Państw-Darczyńców i międzynarodowe organizacje partnerskie</w:t>
      </w:r>
      <w:r w:rsidR="009C17B9" w:rsidRPr="00767038" w:rsidDel="009C17B9">
        <w:rPr>
          <w:lang w:val="pl-PL"/>
        </w:rPr>
        <w:t xml:space="preserve"> </w:t>
      </w:r>
      <w:r w:rsidRPr="00767038">
        <w:rPr>
          <w:lang w:val="pl-PL"/>
        </w:rPr>
        <w:t>są zaangażowan</w:t>
      </w:r>
      <w:r w:rsidR="009D181D">
        <w:rPr>
          <w:lang w:val="pl-PL"/>
        </w:rPr>
        <w:t>e</w:t>
      </w:r>
      <w:r w:rsidRPr="00767038">
        <w:rPr>
          <w:lang w:val="pl-PL"/>
        </w:rPr>
        <w:t xml:space="preserve"> w</w:t>
      </w:r>
      <w:r w:rsidR="009C17B9" w:rsidRPr="00767038">
        <w:rPr>
          <w:lang w:val="pl-PL"/>
        </w:rPr>
        <w:t>e</w:t>
      </w:r>
      <w:r w:rsidRPr="00767038">
        <w:rPr>
          <w:lang w:val="pl-PL"/>
        </w:rPr>
        <w:t xml:space="preserve"> </w:t>
      </w:r>
      <w:r w:rsidR="009C17B9" w:rsidRPr="00767038">
        <w:rPr>
          <w:lang w:val="pl-PL"/>
        </w:rPr>
        <w:t>wdrażanie</w:t>
      </w:r>
      <w:r w:rsidRPr="00767038">
        <w:rPr>
          <w:lang w:val="pl-PL"/>
        </w:rPr>
        <w:t xml:space="preserve"> projektów jako partnerzy projektów, koszty pokrywa się z dofinansowania projektów. Stosuje się </w:t>
      </w:r>
      <w:r w:rsidR="009C17B9" w:rsidRPr="00767038">
        <w:rPr>
          <w:lang w:val="pl-PL"/>
        </w:rPr>
        <w:t xml:space="preserve">wtedy </w:t>
      </w:r>
      <w:r w:rsidRPr="00767038">
        <w:rPr>
          <w:lang w:val="pl-PL"/>
        </w:rPr>
        <w:t xml:space="preserve">zasady kwalifikowalności wydatków projektowych, o których mowa w art. </w:t>
      </w:r>
      <w:r w:rsidR="004137F1" w:rsidRPr="00767038">
        <w:rPr>
          <w:lang w:val="pl-PL"/>
        </w:rPr>
        <w:t>8.3/4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, a także wymagania dotyczące </w:t>
      </w:r>
      <w:r w:rsidR="009C17B9" w:rsidRPr="00767038">
        <w:rPr>
          <w:lang w:val="pl-PL"/>
        </w:rPr>
        <w:t>udokumentowania</w:t>
      </w:r>
      <w:r w:rsidRPr="00767038">
        <w:rPr>
          <w:lang w:val="pl-PL"/>
        </w:rPr>
        <w:t xml:space="preserve"> wydatków, o których mowa w art. </w:t>
      </w:r>
      <w:r w:rsidR="004137F1" w:rsidRPr="00767038">
        <w:rPr>
          <w:lang w:val="pl-PL"/>
        </w:rPr>
        <w:t>8.12/13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4137F1" w:rsidRPr="00767038">
        <w:rPr>
          <w:lang w:val="pl-PL"/>
        </w:rPr>
        <w:t>.</w:t>
      </w:r>
    </w:p>
    <w:p w:rsidR="00DF6C58" w:rsidRDefault="00DF6C58" w:rsidP="00376576">
      <w:pPr>
        <w:rPr>
          <w:lang w:val="pl-PL"/>
        </w:rPr>
      </w:pPr>
    </w:p>
    <w:p w:rsidR="00DF6C58" w:rsidRDefault="00DF6C58" w:rsidP="00376576">
      <w:pPr>
        <w:rPr>
          <w:lang w:val="pl-PL"/>
        </w:rPr>
      </w:pPr>
    </w:p>
    <w:p w:rsidR="00DF6C58" w:rsidRPr="00767038" w:rsidRDefault="00DF6C58" w:rsidP="00376576">
      <w:pPr>
        <w:rPr>
          <w:lang w:val="pl-PL"/>
        </w:rPr>
      </w:pPr>
    </w:p>
    <w:p w:rsidR="00F3740C" w:rsidRPr="00767038" w:rsidRDefault="002D304C" w:rsidP="00A0039A">
      <w:pPr>
        <w:pStyle w:val="Nagwek2"/>
        <w:rPr>
          <w:lang w:val="pl-PL"/>
        </w:rPr>
      </w:pPr>
      <w:bookmarkStart w:id="107" w:name="_Toc505238521"/>
      <w:r w:rsidRPr="00767038">
        <w:rPr>
          <w:iCs/>
          <w:lang w:val="pl-PL"/>
        </w:rPr>
        <w:lastRenderedPageBreak/>
        <w:t>Strategia audytu</w:t>
      </w:r>
      <w:r w:rsidR="00F3740C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F3740C" w:rsidRPr="00767038">
        <w:rPr>
          <w:iCs/>
          <w:lang w:val="pl-PL"/>
        </w:rPr>
        <w:t xml:space="preserve">rt. 5.5.1 </w:t>
      </w:r>
      <w:r w:rsidRPr="00767038">
        <w:rPr>
          <w:iCs/>
          <w:lang w:val="pl-PL"/>
        </w:rPr>
        <w:t xml:space="preserve">lit. </w:t>
      </w:r>
      <w:r w:rsidR="00F3740C" w:rsidRPr="00767038">
        <w:rPr>
          <w:iCs/>
          <w:lang w:val="pl-PL"/>
        </w:rPr>
        <w:t>(d)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F3740C" w:rsidRPr="00767038">
        <w:rPr>
          <w:iCs/>
          <w:lang w:val="pl-PL"/>
        </w:rPr>
        <w:t>)</w:t>
      </w:r>
      <w:bookmarkEnd w:id="107"/>
    </w:p>
    <w:p w:rsidR="00F3740C" w:rsidRPr="00767038" w:rsidRDefault="00FB2938" w:rsidP="00376576">
      <w:pPr>
        <w:autoSpaceDE w:val="0"/>
        <w:autoSpaceDN w:val="0"/>
        <w:adjustRightInd w:val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154305</wp:posOffset>
                </wp:positionV>
                <wp:extent cx="2978150" cy="3067050"/>
                <wp:effectExtent l="812800" t="11430" r="9525" b="7620"/>
                <wp:wrapTight wrapText="bothSides">
                  <wp:wrapPolygon edited="0">
                    <wp:start x="3035" y="-67"/>
                    <wp:lineTo x="2482" y="0"/>
                    <wp:lineTo x="829" y="805"/>
                    <wp:lineTo x="484" y="1543"/>
                    <wp:lineTo x="138" y="2080"/>
                    <wp:lineTo x="-207" y="3153"/>
                    <wp:lineTo x="-3035" y="4226"/>
                    <wp:lineTo x="-5591" y="4830"/>
                    <wp:lineTo x="-5798" y="4964"/>
                    <wp:lineTo x="-5453" y="5299"/>
                    <wp:lineTo x="-967" y="8519"/>
                    <wp:lineTo x="-276" y="9593"/>
                    <wp:lineTo x="-207" y="18179"/>
                    <wp:lineTo x="0" y="19252"/>
                    <wp:lineTo x="691" y="20460"/>
                    <wp:lineTo x="1999" y="21399"/>
                    <wp:lineTo x="2759" y="21600"/>
                    <wp:lineTo x="2966" y="21600"/>
                    <wp:lineTo x="18565" y="21600"/>
                    <wp:lineTo x="18772" y="21600"/>
                    <wp:lineTo x="19601" y="21399"/>
                    <wp:lineTo x="20978" y="20325"/>
                    <wp:lineTo x="21531" y="19252"/>
                    <wp:lineTo x="21669" y="18179"/>
                    <wp:lineTo x="21669" y="3086"/>
                    <wp:lineTo x="21393" y="2080"/>
                    <wp:lineTo x="20840" y="1207"/>
                    <wp:lineTo x="20702" y="805"/>
                    <wp:lineTo x="19049" y="0"/>
                    <wp:lineTo x="18496" y="-67"/>
                    <wp:lineTo x="3035" y="-67"/>
                  </wp:wrapPolygon>
                </wp:wrapTight>
                <wp:docPr id="5" name="Rounded Rectangular Callou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3067050"/>
                        </a:xfrm>
                        <a:prstGeom prst="wedgeRoundRectCallout">
                          <a:avLst>
                            <a:gd name="adj1" fmla="val -76269"/>
                            <a:gd name="adj2" fmla="val -2685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FD7AF7" w:rsidRDefault="00C522D7" w:rsidP="00226D5C">
                            <w:pP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Instytucja Audytu jest odpowiedzialna w szczególności za przygotowanie strategii audytu w ciągu dziewięciu miesięcy od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momentu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zatwierdzenia ostatniego program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u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. Strategia audytu może obejmować więcej niż jeden program.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 s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trategi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audytu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należy 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określ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ić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stosowane 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metod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y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,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sposób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do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boru próby audytów projektów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oraz szacunkowy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plan audytów w celu za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gwarantowania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równomierne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go rozłożenia audytów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 okres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ie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programowania. Strategi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a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audytu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jest 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aktualiz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owana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corocznie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,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 zależności od potrzeb. Na żądanie Instytucja Audytu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przedkłada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strategię audytu do KMF/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MSZ w języku angielskim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,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 ciągu jednego miesiąca. KMF/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MSZ może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przedstawiać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uwagi (art. 5.5.1 lit. (d)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Regulacji</w:t>
                            </w:r>
                            <w:r w:rsidRPr="00FD7AF7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6" o:spid="_x0000_s1049" type="#_x0000_t62" style="position:absolute;left:0;text-align:left;margin-left:235.75pt;margin-top:12.15pt;width:234.5pt;height:24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" adj="-5674,5000" fillcolor="white [3201]" strokecolor="black [3200]" strokeweight="1pt">
                <v:textbox>
                  <w:txbxContent>
                    <w:p w:rsidR="00C522D7" w:rsidRPr="00FD7AF7" w:rsidRDefault="00C522D7" w:rsidP="00226D5C">
                      <w:pPr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Instytucja Audytu jest odpowiedzialna w szczególności za przygotowanie strategii audytu w ciągu dziewięciu miesięcy od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momentu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zatwierdzenia ostatniego program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u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. Strategia audytu może obejmować więcej niż jeden program.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W s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>trategi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audytu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należy 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>określ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ić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stosowane 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>metod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y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,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sposób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do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boru próby audytów projektów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oraz szacunkowy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plan audytów w celu za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gwarantowania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równomierne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go rozłożenia audytów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 okres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ie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programowania. Strategi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a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audytu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jest 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>aktualiz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owana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corocznie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,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 zależności od potrzeb. Na żądanie Instytucja Audytu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przedkłada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strategię audytu do KMF/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>MSZ w języku angielskim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,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 ciągu jednego miesiąca. KMF/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MSZ może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przedstawiać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uwagi (art. 5.5.1 lit. (d)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Regulacji</w:t>
                      </w:r>
                      <w:r w:rsidRPr="00FD7AF7">
                        <w:rPr>
                          <w:color w:val="4472C4" w:themeColor="accent5"/>
                          <w:sz w:val="18"/>
                          <w:lang w:val="pl-PL"/>
                        </w:rPr>
                        <w:t>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304C" w:rsidRPr="00767038">
        <w:rPr>
          <w:lang w:val="pl-PL"/>
        </w:rPr>
        <w:t>Strategia audytu powinna zawierać co najmniej elementy, które opisano w podsekcjach poniżej</w:t>
      </w:r>
      <w:r w:rsidR="00DB4E41" w:rsidRPr="00767038">
        <w:rPr>
          <w:lang w:val="pl-PL"/>
        </w:rPr>
        <w:t>.</w:t>
      </w:r>
    </w:p>
    <w:p w:rsidR="00A32CE9" w:rsidRPr="00767038" w:rsidRDefault="005E3010" w:rsidP="00C27B08">
      <w:pPr>
        <w:pStyle w:val="Nagwek3"/>
        <w:rPr>
          <w:rFonts w:cs="Times New Roman"/>
          <w:color w:val="000000"/>
          <w:lang w:val="pl-PL"/>
        </w:rPr>
      </w:pPr>
      <w:r w:rsidRPr="00767038">
        <w:rPr>
          <w:lang w:val="pl-PL"/>
        </w:rPr>
        <w:t>Mandat</w:t>
      </w:r>
    </w:p>
    <w:p w:rsidR="00F3740C" w:rsidRPr="00767038" w:rsidRDefault="00226D5C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 xml:space="preserve">IA powinna posiadać jednoznaczny </w:t>
      </w:r>
      <w:r w:rsidR="00FD7AF7" w:rsidRPr="00767038">
        <w:rPr>
          <w:lang w:val="pl-PL"/>
        </w:rPr>
        <w:t>mandat</w:t>
      </w:r>
      <w:r w:rsidRPr="00767038">
        <w:rPr>
          <w:lang w:val="pl-PL"/>
        </w:rPr>
        <w:t xml:space="preserve"> do pełnienia funkcji </w:t>
      </w:r>
      <w:r w:rsidR="00427C86">
        <w:rPr>
          <w:lang w:val="pl-PL"/>
        </w:rPr>
        <w:t>kontrolnej</w:t>
      </w:r>
      <w:r w:rsidR="00427C86" w:rsidRPr="00767038">
        <w:rPr>
          <w:lang w:val="pl-PL"/>
        </w:rPr>
        <w:t xml:space="preserve"> </w:t>
      </w:r>
      <w:r w:rsidRPr="00767038">
        <w:rPr>
          <w:lang w:val="pl-PL"/>
        </w:rPr>
        <w:t xml:space="preserve">zgodnie z art. 5.5 </w:t>
      </w:r>
      <w:r w:rsidR="005A62D3" w:rsidRPr="00767038">
        <w:rPr>
          <w:lang w:val="pl-PL"/>
        </w:rPr>
        <w:t>Regulacji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>Mandat ten dokumentuje się zwykle w statucie/karcie audytu, o ile nie został</w:t>
      </w:r>
      <w:r w:rsidR="00427C86">
        <w:rPr>
          <w:lang w:val="pl-PL"/>
        </w:rPr>
        <w:t xml:space="preserve"> już</w:t>
      </w:r>
      <w:r w:rsidRPr="00767038">
        <w:rPr>
          <w:lang w:val="pl-PL"/>
        </w:rPr>
        <w:t xml:space="preserve"> określony w prawodawstwie krajowym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Jeżeli statut audytu </w:t>
      </w:r>
      <w:r w:rsidR="00D96AB3" w:rsidRPr="00767038">
        <w:rPr>
          <w:lang w:val="pl-PL"/>
        </w:rPr>
        <w:t>dotyczy</w:t>
      </w:r>
      <w:r w:rsidRPr="00767038">
        <w:rPr>
          <w:lang w:val="pl-PL"/>
        </w:rPr>
        <w:t xml:space="preserve"> audytu jako całości, mandat związany specjalnie z funkcją IA </w:t>
      </w:r>
      <w:r w:rsidR="00FD7AF7" w:rsidRPr="00767038">
        <w:rPr>
          <w:lang w:val="pl-PL"/>
        </w:rPr>
        <w:t>powinien</w:t>
      </w:r>
      <w:r w:rsidRPr="00767038">
        <w:rPr>
          <w:lang w:val="pl-PL"/>
        </w:rPr>
        <w:t xml:space="preserve"> być </w:t>
      </w:r>
      <w:r w:rsidR="00FD7AF7" w:rsidRPr="00767038">
        <w:rPr>
          <w:lang w:val="pl-PL"/>
        </w:rPr>
        <w:t>włączony</w:t>
      </w:r>
      <w:r w:rsidRPr="00767038">
        <w:rPr>
          <w:lang w:val="pl-PL"/>
        </w:rPr>
        <w:t xml:space="preserve"> do tego statutu i powinien zostać formalnie przyjęty przez IA</w:t>
      </w:r>
      <w:r w:rsidR="00F3740C" w:rsidRPr="00767038">
        <w:rPr>
          <w:lang w:val="pl-PL"/>
        </w:rPr>
        <w:t xml:space="preserve">. </w:t>
      </w:r>
      <w:r w:rsidR="00FD7AF7" w:rsidRPr="00767038">
        <w:rPr>
          <w:lang w:val="pl-PL"/>
        </w:rPr>
        <w:t>Silny statut audytu przyczynia się do zwiększenia niezależności IA</w:t>
      </w:r>
      <w:r w:rsidR="00F3740C" w:rsidRPr="00767038">
        <w:rPr>
          <w:lang w:val="pl-PL"/>
        </w:rPr>
        <w:t xml:space="preserve">. </w:t>
      </w:r>
    </w:p>
    <w:p w:rsidR="00A32CE9" w:rsidRPr="00767038" w:rsidRDefault="00FD7AF7" w:rsidP="00C27B08">
      <w:pPr>
        <w:pStyle w:val="Nagwek3"/>
        <w:rPr>
          <w:lang w:val="pl-PL"/>
        </w:rPr>
      </w:pPr>
      <w:r w:rsidRPr="00767038">
        <w:rPr>
          <w:lang w:val="pl-PL"/>
        </w:rPr>
        <w:t>Niezależność</w:t>
      </w:r>
    </w:p>
    <w:p w:rsidR="00F3740C" w:rsidRPr="00767038" w:rsidRDefault="00FD7AF7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 xml:space="preserve">Strategia powinna zawierać potwierdzenie IA, że organy przeprowadzające audyty zgodnie z art. 5.5 </w:t>
      </w:r>
      <w:r w:rsidR="005A62D3" w:rsidRPr="00767038">
        <w:rPr>
          <w:lang w:val="pl-PL"/>
        </w:rPr>
        <w:t>Regulacji</w:t>
      </w:r>
      <w:r w:rsidRPr="00767038">
        <w:rPr>
          <w:lang w:val="pl-PL"/>
        </w:rPr>
        <w:t xml:space="preserve"> charakteryzuje wymagana niezależność funkcyjna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>Niezależność jest stanem wolnym od warunków, które zagrażają zdolności IA do wykonywania swoich obowiązków w sposób bezstronny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W celu osiągnięcia takiego stopnia niezależności, który jest niezbędny do skutecznego wykonywania obowiązków, IA musi posiadać bezpośredni i nieograniczony dostęp do kierownictwa wyższego szczebla na wszystkich poziomach, w tym </w:t>
      </w:r>
      <w:r w:rsidR="00315981" w:rsidRPr="00767038">
        <w:rPr>
          <w:lang w:val="pl-PL"/>
        </w:rPr>
        <w:t>Operator</w:t>
      </w:r>
      <w:r w:rsidR="00D96AB3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>, K</w:t>
      </w:r>
      <w:r w:rsidR="00D96AB3" w:rsidRPr="00767038">
        <w:rPr>
          <w:lang w:val="pl-PL"/>
        </w:rPr>
        <w:t>PK</w:t>
      </w:r>
      <w:r w:rsidRPr="00767038">
        <w:rPr>
          <w:lang w:val="pl-PL"/>
        </w:rPr>
        <w:t xml:space="preserve"> </w:t>
      </w:r>
      <w:r w:rsidR="00D96AB3" w:rsidRPr="00767038">
        <w:rPr>
          <w:lang w:val="pl-PL"/>
        </w:rPr>
        <w:t>oraz</w:t>
      </w:r>
      <w:r w:rsidRPr="00767038">
        <w:rPr>
          <w:lang w:val="pl-PL"/>
        </w:rPr>
        <w:t xml:space="preserve"> IC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Na wszystkich etapach aud</w:t>
      </w:r>
      <w:r w:rsidR="000526C9" w:rsidRPr="00767038">
        <w:rPr>
          <w:lang w:val="pl-PL"/>
        </w:rPr>
        <w:t>yt</w:t>
      </w:r>
      <w:r w:rsidRPr="00767038">
        <w:rPr>
          <w:lang w:val="pl-PL"/>
        </w:rPr>
        <w:t>u</w:t>
      </w:r>
      <w:r w:rsidR="00D96AB3" w:rsidRPr="00767038">
        <w:rPr>
          <w:lang w:val="pl-PL"/>
        </w:rPr>
        <w:t>,</w:t>
      </w:r>
      <w:r w:rsidRPr="00767038">
        <w:rPr>
          <w:lang w:val="pl-PL"/>
        </w:rPr>
        <w:t xml:space="preserve"> IA powinna zapewniać, że prace są prowadzone w sposób niezależny i obiektywny</w:t>
      </w:r>
      <w:r w:rsidR="00F3740C" w:rsidRPr="00767038">
        <w:rPr>
          <w:lang w:val="pl-PL"/>
        </w:rPr>
        <w:t>,</w:t>
      </w:r>
      <w:r w:rsidRPr="00767038">
        <w:rPr>
          <w:lang w:val="pl-PL"/>
        </w:rPr>
        <w:t xml:space="preserve"> wolny od konfliktów interesów z jednostką podlegającą audytowi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Niezależność funkcyjna implikuje wystarczający stopień niezależności w celu zapewnienia braku ryzyka, że powiązania między różnymi władzami nie powodują wątpliwości co do bezstronności podejmowanych decyzji. W celu zapewnienia wystarczającego stopnia niezależności </w:t>
      </w:r>
      <w:r w:rsidR="00D96AB3" w:rsidRPr="00767038">
        <w:rPr>
          <w:lang w:val="pl-PL"/>
        </w:rPr>
        <w:t xml:space="preserve">opisy </w:t>
      </w:r>
      <w:r w:rsidRPr="00767038">
        <w:rPr>
          <w:lang w:val="pl-PL"/>
        </w:rPr>
        <w:t>SZK po</w:t>
      </w:r>
      <w:r w:rsidR="000526C9" w:rsidRPr="00767038">
        <w:rPr>
          <w:lang w:val="pl-PL"/>
        </w:rPr>
        <w:t xml:space="preserve">winny dostarczać </w:t>
      </w:r>
      <w:r w:rsidR="00D96AB3" w:rsidRPr="00767038">
        <w:rPr>
          <w:lang w:val="pl-PL"/>
        </w:rPr>
        <w:t xml:space="preserve">mechanizmów </w:t>
      </w:r>
      <w:r w:rsidR="00A35E94" w:rsidRPr="00767038">
        <w:rPr>
          <w:lang w:val="pl-PL"/>
        </w:rPr>
        <w:t>zapewniających</w:t>
      </w:r>
      <w:r w:rsidR="000526C9" w:rsidRPr="00767038">
        <w:rPr>
          <w:lang w:val="pl-PL"/>
        </w:rPr>
        <w:t xml:space="preserve"> brak powiązań personelu IA z funkcjami </w:t>
      </w:r>
      <w:r w:rsidR="00315981" w:rsidRPr="00767038">
        <w:rPr>
          <w:lang w:val="pl-PL"/>
        </w:rPr>
        <w:t>Operator</w:t>
      </w:r>
      <w:r w:rsidR="00D96AB3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="000526C9" w:rsidRPr="00767038">
        <w:rPr>
          <w:lang w:val="pl-PL"/>
        </w:rPr>
        <w:t xml:space="preserve">, </w:t>
      </w:r>
      <w:r w:rsidR="00D96AB3" w:rsidRPr="00767038">
        <w:rPr>
          <w:lang w:val="pl-PL"/>
        </w:rPr>
        <w:t xml:space="preserve">KPK </w:t>
      </w:r>
      <w:r w:rsidR="000526C9" w:rsidRPr="00767038">
        <w:rPr>
          <w:lang w:val="pl-PL"/>
        </w:rPr>
        <w:t>lub IC</w:t>
      </w:r>
      <w:r w:rsidR="00D96AB3" w:rsidRPr="00767038">
        <w:rPr>
          <w:lang w:val="pl-PL"/>
        </w:rPr>
        <w:t xml:space="preserve"> oraz</w:t>
      </w:r>
      <w:r w:rsidR="000526C9" w:rsidRPr="00767038">
        <w:rPr>
          <w:lang w:val="pl-PL"/>
        </w:rPr>
        <w:t xml:space="preserve"> autonomi</w:t>
      </w:r>
      <w:r w:rsidR="00D96AB3" w:rsidRPr="00767038">
        <w:rPr>
          <w:lang w:val="pl-PL"/>
        </w:rPr>
        <w:t>ę</w:t>
      </w:r>
      <w:r w:rsidR="000526C9" w:rsidRPr="00767038">
        <w:rPr>
          <w:lang w:val="pl-PL"/>
        </w:rPr>
        <w:t xml:space="preserve"> </w:t>
      </w:r>
      <w:r w:rsidR="00A35E94" w:rsidRPr="00767038">
        <w:rPr>
          <w:lang w:val="pl-PL"/>
        </w:rPr>
        <w:t>decyzyjną</w:t>
      </w:r>
      <w:r w:rsidR="000526C9" w:rsidRPr="00767038">
        <w:rPr>
          <w:lang w:val="pl-PL"/>
        </w:rPr>
        <w:t xml:space="preserve"> IA w zakresie rekrutacji personelu, jasne opisy stanowisk i </w:t>
      </w:r>
      <w:r w:rsidR="00D96AB3" w:rsidRPr="00767038">
        <w:rPr>
          <w:lang w:val="pl-PL"/>
        </w:rPr>
        <w:t xml:space="preserve">pisemne </w:t>
      </w:r>
      <w:r w:rsidR="000526C9" w:rsidRPr="00767038">
        <w:rPr>
          <w:lang w:val="pl-PL"/>
        </w:rPr>
        <w:t xml:space="preserve">uzgodnienia </w:t>
      </w:r>
      <w:r w:rsidR="00D96AB3" w:rsidRPr="00767038">
        <w:rPr>
          <w:lang w:val="pl-PL"/>
        </w:rPr>
        <w:t>po</w:t>
      </w:r>
      <w:r w:rsidR="000526C9" w:rsidRPr="00767038">
        <w:rPr>
          <w:lang w:val="pl-PL"/>
        </w:rPr>
        <w:t xml:space="preserve">między </w:t>
      </w:r>
      <w:r w:rsidR="00D96AB3" w:rsidRPr="00767038">
        <w:rPr>
          <w:lang w:val="pl-PL"/>
        </w:rPr>
        <w:t>podmiotami</w:t>
      </w:r>
      <w:r w:rsidR="00F3740C" w:rsidRPr="00767038">
        <w:rPr>
          <w:lang w:val="pl-PL"/>
        </w:rPr>
        <w:t xml:space="preserve">. </w:t>
      </w:r>
      <w:r w:rsidR="000526C9" w:rsidRPr="00767038">
        <w:rPr>
          <w:lang w:val="pl-PL"/>
        </w:rPr>
        <w:t xml:space="preserve">Ważne jest, aby IA mogła zgłaszać sprzeciw przeciw </w:t>
      </w:r>
      <w:r w:rsidR="00315981" w:rsidRPr="00767038">
        <w:rPr>
          <w:lang w:val="pl-PL"/>
        </w:rPr>
        <w:t>Operator</w:t>
      </w:r>
      <w:r w:rsidR="00D96AB3" w:rsidRPr="00767038">
        <w:rPr>
          <w:lang w:val="pl-PL"/>
        </w:rPr>
        <w:t>om</w:t>
      </w:r>
      <w:r w:rsidR="00315981" w:rsidRPr="00767038">
        <w:rPr>
          <w:lang w:val="pl-PL"/>
        </w:rPr>
        <w:t xml:space="preserve"> Program</w:t>
      </w:r>
      <w:r w:rsidR="00D96AB3" w:rsidRPr="00767038">
        <w:rPr>
          <w:lang w:val="pl-PL"/>
        </w:rPr>
        <w:t>ów</w:t>
      </w:r>
      <w:r w:rsidR="000526C9" w:rsidRPr="00767038">
        <w:rPr>
          <w:lang w:val="pl-PL"/>
        </w:rPr>
        <w:t>, K</w:t>
      </w:r>
      <w:r w:rsidR="00D96AB3" w:rsidRPr="00767038">
        <w:rPr>
          <w:lang w:val="pl-PL"/>
        </w:rPr>
        <w:t>PK</w:t>
      </w:r>
      <w:r w:rsidR="000526C9" w:rsidRPr="00767038">
        <w:rPr>
          <w:lang w:val="pl-PL"/>
        </w:rPr>
        <w:t xml:space="preserve"> lub IC oraz informować interesariuszy, w szczególności BMF, o wynikach audytów przy zachowaniu pełnej niezależności. Umiejscowienie w organizacji i status IA mogą tworzyć praktyczne ograniczenie lub ograniczać zakres prac IA, zwłaszcza jeżeli IA jest częścią tego samego organu publicznego jak (część) jednostek podlegających audytowi</w:t>
      </w:r>
      <w:r w:rsidR="00F3740C" w:rsidRPr="00767038">
        <w:rPr>
          <w:lang w:val="pl-PL"/>
        </w:rPr>
        <w:t xml:space="preserve">. </w:t>
      </w:r>
      <w:r w:rsidR="000526C9" w:rsidRPr="00767038">
        <w:rPr>
          <w:lang w:val="pl-PL"/>
        </w:rPr>
        <w:t>Zasadniczo</w:t>
      </w:r>
      <w:r w:rsidR="00D96AB3" w:rsidRPr="00767038">
        <w:rPr>
          <w:lang w:val="pl-PL"/>
        </w:rPr>
        <w:t>,</w:t>
      </w:r>
      <w:r w:rsidR="000526C9" w:rsidRPr="00767038">
        <w:rPr>
          <w:lang w:val="pl-PL"/>
        </w:rPr>
        <w:t xml:space="preserve"> czym wyższy poziom raportowania, tym większy potencjalny zakres zleceń, których może podejmować się IA przy zachowaniu niezależności od jednostki podlegającej audytowi</w:t>
      </w:r>
      <w:r w:rsidR="00F3740C" w:rsidRPr="00767038">
        <w:rPr>
          <w:lang w:val="pl-PL"/>
        </w:rPr>
        <w:t xml:space="preserve">. </w:t>
      </w:r>
      <w:r w:rsidR="000526C9" w:rsidRPr="00767038">
        <w:rPr>
          <w:lang w:val="pl-PL"/>
        </w:rPr>
        <w:t>Szef IA powinien co najmniej raportować takiemu poziomowi w hierarchii danego organu publicznego, który umożliwia IA wypełnianie swoich obowiązków</w:t>
      </w:r>
      <w:r w:rsidR="00F3740C" w:rsidRPr="00767038">
        <w:rPr>
          <w:lang w:val="pl-PL"/>
        </w:rPr>
        <w:t xml:space="preserve">; </w:t>
      </w:r>
      <w:r w:rsidR="000526C9" w:rsidRPr="00767038">
        <w:rPr>
          <w:lang w:val="pl-PL"/>
        </w:rPr>
        <w:t>IA musi być wolna od wpływów przy określaniu zakresu prac audytowych, wykonywaniu prac i informowaniu o wynikach</w:t>
      </w:r>
      <w:r w:rsidR="00F3740C" w:rsidRPr="00767038">
        <w:rPr>
          <w:lang w:val="pl-PL"/>
        </w:rPr>
        <w:t xml:space="preserve">. </w:t>
      </w:r>
    </w:p>
    <w:p w:rsidR="00F3740C" w:rsidRPr="00767038" w:rsidRDefault="000526C9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W strategii audytu IA powinna określić, w jaki sposób zostanie zapewniona wspomniana niezależność funkcyjna</w:t>
      </w:r>
      <w:r w:rsidR="00F3740C" w:rsidRPr="00767038">
        <w:rPr>
          <w:lang w:val="pl-PL"/>
        </w:rPr>
        <w:t xml:space="preserve">, </w:t>
      </w:r>
      <w:r w:rsidRPr="00767038">
        <w:rPr>
          <w:lang w:val="pl-PL"/>
        </w:rPr>
        <w:t>opisując stosunki między IA i K</w:t>
      </w:r>
      <w:r w:rsidR="00D96AB3" w:rsidRPr="00767038">
        <w:rPr>
          <w:lang w:val="pl-PL"/>
        </w:rPr>
        <w:t>PK</w:t>
      </w:r>
      <w:r w:rsidRPr="00767038">
        <w:rPr>
          <w:lang w:val="pl-PL"/>
        </w:rPr>
        <w:t xml:space="preserve">, IC </w:t>
      </w:r>
      <w:r w:rsidR="00D96AB3" w:rsidRPr="00767038">
        <w:rPr>
          <w:lang w:val="pl-PL"/>
        </w:rPr>
        <w:t>oraz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D96AB3" w:rsidRPr="00767038">
        <w:rPr>
          <w:lang w:val="pl-PL"/>
        </w:rPr>
        <w:t>ami</w:t>
      </w:r>
      <w:r w:rsidR="00315981" w:rsidRPr="00767038">
        <w:rPr>
          <w:lang w:val="pl-PL"/>
        </w:rPr>
        <w:t xml:space="preserve"> Program</w:t>
      </w:r>
      <w:r w:rsidR="00D96AB3" w:rsidRPr="00767038">
        <w:rPr>
          <w:lang w:val="pl-PL"/>
        </w:rPr>
        <w:t>ów</w:t>
      </w:r>
      <w:r w:rsidR="00F3740C" w:rsidRPr="00767038">
        <w:rPr>
          <w:lang w:val="pl-PL"/>
        </w:rPr>
        <w:t xml:space="preserve">. </w:t>
      </w:r>
    </w:p>
    <w:p w:rsidR="00A32CE9" w:rsidRPr="00767038" w:rsidRDefault="000526C9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>Ocena ryzyka</w:t>
      </w:r>
    </w:p>
    <w:p w:rsidR="00F3740C" w:rsidRPr="00767038" w:rsidRDefault="000526C9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 xml:space="preserve">Strategia audytu powinna zawierać wyjaśnienie metody oceny </w:t>
      </w:r>
      <w:r w:rsidR="002E5982" w:rsidRPr="00767038">
        <w:rPr>
          <w:lang w:val="pl-PL"/>
        </w:rPr>
        <w:t>ryzyka i odniesienie do wewnętrznych procedur aktualizacji oceny ryzyka</w:t>
      </w:r>
      <w:r w:rsidR="00F3740C" w:rsidRPr="00767038">
        <w:rPr>
          <w:lang w:val="pl-PL"/>
        </w:rPr>
        <w:t>.</w:t>
      </w:r>
      <w:r w:rsidR="002E5982" w:rsidRPr="00767038">
        <w:rPr>
          <w:lang w:val="pl-PL"/>
        </w:rPr>
        <w:t xml:space="preserve"> Ustalając ogólną metodę oceny ryzyka na potrzeby ustalania priorytetów w systemowych pracach audytowych, IA powinna uwzględnić odpowiednie czynniki ryzyka, ustalić siatkę kwantyfikacji od niskiego do wysokiego ryzyka i stosować j</w:t>
      </w:r>
      <w:r w:rsidR="00B642BD" w:rsidRPr="00767038">
        <w:rPr>
          <w:lang w:val="pl-PL"/>
        </w:rPr>
        <w:t>ą</w:t>
      </w:r>
      <w:r w:rsidR="002E5982" w:rsidRPr="00767038">
        <w:rPr>
          <w:lang w:val="pl-PL"/>
        </w:rPr>
        <w:t xml:space="preserve"> do wszystkich organów związanych z programem lub programami objętymi strategią</w:t>
      </w:r>
      <w:r w:rsidR="00F3740C" w:rsidRPr="00767038">
        <w:rPr>
          <w:lang w:val="pl-PL"/>
        </w:rPr>
        <w:t>.</w:t>
      </w:r>
      <w:r w:rsidR="002E5982" w:rsidRPr="00767038">
        <w:rPr>
          <w:lang w:val="pl-PL"/>
        </w:rPr>
        <w:t xml:space="preserve"> Można rozważyć takie czynniki ryzyka jak</w:t>
      </w:r>
      <w:r w:rsidR="00F3740C" w:rsidRPr="00767038">
        <w:rPr>
          <w:lang w:val="pl-PL"/>
        </w:rPr>
        <w:t xml:space="preserve">: </w:t>
      </w:r>
      <w:r w:rsidR="002E5982" w:rsidRPr="00767038">
        <w:rPr>
          <w:lang w:val="pl-PL"/>
        </w:rPr>
        <w:t>kwota, kompetencje kierownictwa, jakość kontroli wewnętrznych, stopień zmienności stabilności w środowisku kontroli</w:t>
      </w:r>
      <w:r w:rsidR="00F3740C" w:rsidRPr="00767038">
        <w:rPr>
          <w:lang w:val="pl-PL"/>
        </w:rPr>
        <w:t xml:space="preserve">, </w:t>
      </w:r>
      <w:r w:rsidR="002E5982" w:rsidRPr="00767038">
        <w:rPr>
          <w:lang w:val="pl-PL"/>
        </w:rPr>
        <w:t xml:space="preserve">termin ostatniego zlecenia audytowego, złożoność struktury organizacyjnej, rodzaj projektów, rodzaj </w:t>
      </w:r>
      <w:r w:rsidR="007C54F6" w:rsidRPr="00767038">
        <w:rPr>
          <w:lang w:val="pl-PL"/>
        </w:rPr>
        <w:t>beneficjentów</w:t>
      </w:r>
      <w:r w:rsidR="002E5982" w:rsidRPr="00767038">
        <w:rPr>
          <w:lang w:val="pl-PL"/>
        </w:rPr>
        <w:t xml:space="preserve">, ryzyko nadużyć itd. Najlepszą praktyką jest raportowanie oceny ryzyka IA w tabeli, w której programy i główne </w:t>
      </w:r>
      <w:r w:rsidR="007C54F6" w:rsidRPr="00767038">
        <w:rPr>
          <w:lang w:val="pl-PL"/>
        </w:rPr>
        <w:t>podmioty</w:t>
      </w:r>
      <w:r w:rsidR="002E5982" w:rsidRPr="00767038">
        <w:rPr>
          <w:lang w:val="pl-PL"/>
        </w:rPr>
        <w:t xml:space="preserve"> zaangażowane w </w:t>
      </w:r>
      <w:r w:rsidR="007C54F6" w:rsidRPr="00767038">
        <w:rPr>
          <w:lang w:val="pl-PL"/>
        </w:rPr>
        <w:t>system zarządzania i kontroli</w:t>
      </w:r>
      <w:r w:rsidR="002E5982" w:rsidRPr="00767038">
        <w:rPr>
          <w:lang w:val="pl-PL"/>
        </w:rPr>
        <w:t xml:space="preserve"> są sklasyfikowane według poziomu ryzyka</w:t>
      </w:r>
      <w:r w:rsidR="00F3740C" w:rsidRPr="00767038">
        <w:rPr>
          <w:lang w:val="pl-PL"/>
        </w:rPr>
        <w:t>.</w:t>
      </w:r>
      <w:r w:rsidR="002E5982" w:rsidRPr="00767038">
        <w:rPr>
          <w:lang w:val="pl-PL"/>
        </w:rPr>
        <w:t xml:space="preserve"> Na podstawie wyników oceny ryzyka</w:t>
      </w:r>
      <w:r w:rsidR="007C54F6" w:rsidRPr="00767038">
        <w:rPr>
          <w:lang w:val="pl-PL"/>
        </w:rPr>
        <w:t>,</w:t>
      </w:r>
      <w:r w:rsidR="002E5982" w:rsidRPr="00767038">
        <w:rPr>
          <w:lang w:val="pl-PL"/>
        </w:rPr>
        <w:t xml:space="preserve"> IA będzie w stanie ustalić priorytety audytów systemowych programów i organy, dla których ryzyko wykrycia jest wyższe w okresie audytu</w:t>
      </w:r>
      <w:r w:rsidR="00F3740C" w:rsidRPr="00767038">
        <w:rPr>
          <w:lang w:val="pl-PL"/>
        </w:rPr>
        <w:t xml:space="preserve">. </w:t>
      </w:r>
    </w:p>
    <w:p w:rsidR="00A32CE9" w:rsidRPr="00767038" w:rsidRDefault="005E3010" w:rsidP="00C27B08">
      <w:pPr>
        <w:pStyle w:val="Nagwek3"/>
        <w:rPr>
          <w:lang w:val="pl-PL"/>
        </w:rPr>
      </w:pPr>
      <w:r w:rsidRPr="00767038">
        <w:rPr>
          <w:lang w:val="pl-PL"/>
        </w:rPr>
        <w:t>Metodolog</w:t>
      </w:r>
      <w:r w:rsidR="002E5982" w:rsidRPr="00767038">
        <w:rPr>
          <w:lang w:val="pl-PL"/>
        </w:rPr>
        <w:t>ia</w:t>
      </w:r>
    </w:p>
    <w:p w:rsidR="00F3740C" w:rsidRPr="00767038" w:rsidRDefault="002E5982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Jeżeli chodzi o metodologię, strategia audytu powinna zawierać co najmniej następujące informacje</w:t>
      </w:r>
      <w:r w:rsidR="00F3740C" w:rsidRPr="00767038">
        <w:rPr>
          <w:lang w:val="pl-PL"/>
        </w:rPr>
        <w:t xml:space="preserve">: </w:t>
      </w:r>
    </w:p>
    <w:p w:rsidR="00F3740C" w:rsidRPr="00767038" w:rsidRDefault="002E5982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odniesienie do podręczników audytu lub procedur z opisem głównych etapów prac audytowych, w tym klasyfikacji i sposobu postępowania ze stwierdzonymi błędami</w:t>
      </w:r>
      <w:r w:rsidR="00F3740C" w:rsidRPr="00767038">
        <w:rPr>
          <w:rFonts w:cs="Times New Roman"/>
          <w:color w:val="000000"/>
          <w:lang w:val="pl-PL"/>
        </w:rPr>
        <w:t xml:space="preserve">; </w:t>
      </w:r>
    </w:p>
    <w:p w:rsidR="00F3740C" w:rsidRPr="00767038" w:rsidRDefault="002E5982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odniesienie do przyjętych w skali międzynarodowej standardów audytu, które IA będzie uwzględniać na potrzeby prac audytowych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2E5982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odniesienie do dostępnych procedur w zakresie przygotowywania rocznego </w:t>
      </w:r>
      <w:r w:rsidR="00EB5418" w:rsidRPr="00767038">
        <w:rPr>
          <w:rFonts w:cs="Times New Roman"/>
          <w:color w:val="000000"/>
          <w:lang w:val="pl-PL"/>
        </w:rPr>
        <w:t>raportu</w:t>
      </w:r>
      <w:r w:rsidRPr="00767038">
        <w:rPr>
          <w:rFonts w:cs="Times New Roman"/>
          <w:color w:val="000000"/>
          <w:lang w:val="pl-PL"/>
        </w:rPr>
        <w:t xml:space="preserve"> z audytu i </w:t>
      </w:r>
      <w:r w:rsidR="00EB5418" w:rsidRPr="00767038">
        <w:rPr>
          <w:rFonts w:cs="Times New Roman"/>
          <w:color w:val="000000"/>
          <w:lang w:val="pl-PL"/>
        </w:rPr>
        <w:t>opinii z audytu, które przedkłada się KMF/</w:t>
      </w:r>
      <w:r w:rsidR="00C604D9" w:rsidRPr="00767038">
        <w:rPr>
          <w:rFonts w:cs="Times New Roman"/>
          <w:color w:val="000000"/>
          <w:lang w:val="pl-PL"/>
        </w:rPr>
        <w:t>NMSZ</w:t>
      </w:r>
      <w:r w:rsidR="00F3740C" w:rsidRPr="00767038">
        <w:rPr>
          <w:rFonts w:cs="Times New Roman"/>
          <w:color w:val="000000"/>
          <w:lang w:val="pl-PL"/>
        </w:rPr>
        <w:t xml:space="preserve"> (</w:t>
      </w:r>
      <w:r w:rsidR="00EB5418" w:rsidRPr="00767038">
        <w:rPr>
          <w:rFonts w:cs="Times New Roman"/>
          <w:color w:val="000000"/>
          <w:lang w:val="pl-PL"/>
        </w:rPr>
        <w:t>a</w:t>
      </w:r>
      <w:r w:rsidR="00F3740C" w:rsidRPr="00767038">
        <w:rPr>
          <w:rFonts w:cs="Times New Roman"/>
          <w:color w:val="000000"/>
          <w:lang w:val="pl-PL"/>
        </w:rPr>
        <w:t>rt. 5.5.1</w:t>
      </w:r>
      <w:r w:rsidR="00EB5418" w:rsidRPr="00767038">
        <w:rPr>
          <w:rFonts w:cs="Times New Roman"/>
          <w:color w:val="000000"/>
          <w:lang w:val="pl-PL"/>
        </w:rPr>
        <w:t xml:space="preserve"> </w:t>
      </w:r>
      <w:r w:rsidR="005A62D3" w:rsidRPr="00767038">
        <w:rPr>
          <w:rFonts w:cs="Times New Roman"/>
          <w:color w:val="000000"/>
          <w:lang w:val="pl-PL"/>
        </w:rPr>
        <w:t>Regulacji</w:t>
      </w:r>
      <w:r w:rsidR="00F3740C" w:rsidRPr="00767038">
        <w:rPr>
          <w:rFonts w:cs="Times New Roman"/>
          <w:color w:val="000000"/>
          <w:lang w:val="pl-PL"/>
        </w:rPr>
        <w:t>).</w:t>
      </w:r>
    </w:p>
    <w:p w:rsidR="00F3740C" w:rsidRPr="00767038" w:rsidRDefault="00EB5418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Podręcznik audytu IA powinien zawierać opis procedur roboczych dla poszczególnych etapów audytu, tj. planowania audytu, oceny ryzyka, realizacji zleceń, rejestrowania dokumentacji, nadzoru, raportowania, procesu zapewnienia jakości i przeglądu zewnętrznego, wykorzystania pracy innych audytorów, wykorzystania technik audytu wspomaganych komputerowo, stosowanych metod wyboru próby itd. Podręcznik audytu powinien zawierać odniesienie do progów istotności i pozostałych czynników o charakterze ilościowym i jakościowym, które należy rozważyć w ocenie istotności wyników audytu dla audytów systemowych i audytów projektów</w:t>
      </w:r>
      <w:r w:rsidR="00F3740C" w:rsidRPr="00767038">
        <w:rPr>
          <w:lang w:val="pl-PL"/>
        </w:rPr>
        <w:t xml:space="preserve">. </w:t>
      </w:r>
      <w:r w:rsidR="00FF4788" w:rsidRPr="00767038">
        <w:rPr>
          <w:lang w:val="pl-PL"/>
        </w:rPr>
        <w:t xml:space="preserve">Podręcznik audytu powinien także zawierać opis różnych etapów raportowania </w:t>
      </w:r>
      <w:r w:rsidR="00F3740C" w:rsidRPr="00767038">
        <w:rPr>
          <w:lang w:val="pl-PL"/>
        </w:rPr>
        <w:t>(</w:t>
      </w:r>
      <w:r w:rsidR="00FF4788" w:rsidRPr="00767038">
        <w:rPr>
          <w:lang w:val="pl-PL"/>
        </w:rPr>
        <w:t>w tym projektów raportów audytu, procedury kontradyktoryjnej z podmiotem podlegającym audytowi i raportów końcowych z audytu</w:t>
      </w:r>
      <w:r w:rsidR="00F3740C" w:rsidRPr="00767038">
        <w:rPr>
          <w:lang w:val="pl-PL"/>
        </w:rPr>
        <w:t>),</w:t>
      </w:r>
      <w:r w:rsidR="00FF4788" w:rsidRPr="00767038">
        <w:rPr>
          <w:lang w:val="pl-PL"/>
        </w:rPr>
        <w:t xml:space="preserve"> terminy raportowania, a także procesy sprawdzające</w:t>
      </w:r>
      <w:r w:rsidR="007C54F6" w:rsidRPr="00767038">
        <w:rPr>
          <w:lang w:val="pl-PL"/>
        </w:rPr>
        <w:t xml:space="preserve"> (</w:t>
      </w:r>
      <w:proofErr w:type="spellStart"/>
      <w:r w:rsidR="007C54F6" w:rsidRPr="00767038">
        <w:rPr>
          <w:lang w:val="pl-PL"/>
        </w:rPr>
        <w:t>follow-up</w:t>
      </w:r>
      <w:proofErr w:type="spellEnd"/>
      <w:r w:rsidR="007C54F6" w:rsidRPr="00767038">
        <w:rPr>
          <w:lang w:val="pl-PL"/>
        </w:rPr>
        <w:t>)</w:t>
      </w:r>
      <w:r w:rsidR="00FF4788" w:rsidRPr="00767038">
        <w:rPr>
          <w:lang w:val="pl-PL"/>
        </w:rPr>
        <w:t xml:space="preserve">, dzięki którym IA powinna móc stwierdzić, że zostały wdrożone odpowiednie i wystarczające działania </w:t>
      </w:r>
      <w:r w:rsidR="000A2882" w:rsidRPr="00767038">
        <w:rPr>
          <w:lang w:val="pl-PL"/>
        </w:rPr>
        <w:t>naprawcze</w:t>
      </w:r>
      <w:r w:rsidR="00F3740C" w:rsidRPr="00767038">
        <w:rPr>
          <w:lang w:val="pl-PL"/>
        </w:rPr>
        <w:t xml:space="preserve">. </w:t>
      </w:r>
    </w:p>
    <w:p w:rsidR="00A32CE9" w:rsidRPr="00767038" w:rsidRDefault="00FF4788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 xml:space="preserve">Audyty funkcjonowania </w:t>
      </w:r>
      <w:r w:rsidR="007C54F6" w:rsidRPr="00767038">
        <w:rPr>
          <w:lang w:val="pl-PL"/>
        </w:rPr>
        <w:t>systemów zarządzania i kontroli</w:t>
      </w:r>
      <w:r w:rsidRPr="00767038">
        <w:rPr>
          <w:lang w:val="pl-PL"/>
        </w:rPr>
        <w:t xml:space="preserve"> (audyty systemowe</w:t>
      </w:r>
      <w:r w:rsidR="00F3740C" w:rsidRPr="00767038">
        <w:rPr>
          <w:lang w:val="pl-PL"/>
        </w:rPr>
        <w:t>)</w:t>
      </w:r>
    </w:p>
    <w:p w:rsidR="00F3740C" w:rsidRPr="00767038" w:rsidRDefault="00D24873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W niniejszej sekcji wskazuje się organy, które podlegają audytowi, a także wymagania</w:t>
      </w:r>
      <w:r w:rsidR="00F3740C" w:rsidRPr="00767038">
        <w:rPr>
          <w:rStyle w:val="Odwoanieprzypisudolnego"/>
          <w:lang w:val="pl-PL"/>
        </w:rPr>
        <w:footnoteReference w:id="20"/>
      </w:r>
      <w:r w:rsidR="00F3740C" w:rsidRPr="00767038">
        <w:rPr>
          <w:lang w:val="pl-PL"/>
        </w:rPr>
        <w:t xml:space="preserve"> </w:t>
      </w:r>
      <w:r w:rsidRPr="00767038">
        <w:rPr>
          <w:lang w:val="pl-PL"/>
        </w:rPr>
        <w:t>w kontekście audytów systemowych</w:t>
      </w:r>
      <w:r w:rsidR="00F3740C" w:rsidRPr="00767038">
        <w:rPr>
          <w:lang w:val="pl-PL"/>
        </w:rPr>
        <w:t>.</w:t>
      </w:r>
    </w:p>
    <w:p w:rsidR="00CD14A2" w:rsidRPr="00767038" w:rsidRDefault="00D24873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IA powinna posiadać specjalnie przygotowane listy kontroln</w:t>
      </w:r>
      <w:r w:rsidR="000A2882" w:rsidRPr="00767038">
        <w:rPr>
          <w:lang w:val="pl-PL"/>
        </w:rPr>
        <w:t>e</w:t>
      </w:r>
      <w:r w:rsidRPr="00767038">
        <w:rPr>
          <w:lang w:val="pl-PL"/>
        </w:rPr>
        <w:t xml:space="preserve"> i programy prac</w:t>
      </w:r>
      <w:r w:rsidR="000154A7">
        <w:rPr>
          <w:lang w:val="pl-PL"/>
        </w:rPr>
        <w:t>y</w:t>
      </w:r>
      <w:r w:rsidRPr="00767038">
        <w:rPr>
          <w:lang w:val="pl-PL"/>
        </w:rPr>
        <w:t xml:space="preserve"> na potrzeby audytów systemowych w celu zapewnienia, że w ramach pełnych audytów lub audytów sprawdzających będą regularnie uwzględniane wszystkie najważniejsze wymagania i procedury</w:t>
      </w:r>
      <w:r w:rsidR="00F3740C" w:rsidRPr="00767038">
        <w:rPr>
          <w:lang w:val="pl-PL"/>
        </w:rPr>
        <w:t xml:space="preserve">, </w:t>
      </w:r>
      <w:r w:rsidRPr="00767038">
        <w:rPr>
          <w:lang w:val="pl-PL"/>
        </w:rPr>
        <w:t xml:space="preserve">dzięki czemu IA będzie w stanie ocenić funkcjonowanie SZK począwszy od pierwszego </w:t>
      </w:r>
      <w:r w:rsidR="000A2882" w:rsidRPr="00767038">
        <w:rPr>
          <w:lang w:val="pl-PL"/>
        </w:rPr>
        <w:t>raportu rocznego z audytu</w:t>
      </w:r>
      <w:r w:rsidR="00F3740C" w:rsidRPr="00767038">
        <w:rPr>
          <w:lang w:val="pl-PL"/>
        </w:rPr>
        <w:t>.</w:t>
      </w:r>
      <w:r w:rsidR="000A2882" w:rsidRPr="00767038">
        <w:rPr>
          <w:lang w:val="pl-PL"/>
        </w:rPr>
        <w:t xml:space="preserve"> Jeżeli chodzi o częstotliwość i zakres audytów systemowych, IA powinna podejmować decyzje na podstawie analizy ryzyka, biorąc pod uwagę Międzynarodowy Standard Rewizji Finansowej 330 </w:t>
      </w:r>
      <w:r w:rsidR="00D44021" w:rsidRPr="00767038">
        <w:rPr>
          <w:lang w:val="pl-PL"/>
        </w:rPr>
        <w:t xml:space="preserve">dotyczący </w:t>
      </w:r>
      <w:r w:rsidR="000A2882" w:rsidRPr="00767038">
        <w:rPr>
          <w:lang w:val="pl-PL"/>
        </w:rPr>
        <w:t>reakcji audytora na ryzyka podlegające ocenie</w:t>
      </w:r>
      <w:r w:rsidR="00F3740C" w:rsidRPr="00767038">
        <w:rPr>
          <w:lang w:val="pl-PL"/>
        </w:rPr>
        <w:t>.</w:t>
      </w:r>
      <w:r w:rsidR="000A2882" w:rsidRPr="00767038">
        <w:rPr>
          <w:lang w:val="pl-PL"/>
        </w:rPr>
        <w:t xml:space="preserve"> W każdym przypadku audyty systemowe należy przeprowadzać terminowo w celu zapewnienia adekwatnego planowania i wyboru audytów projektów oraz wyrażenia corocznej opinii z audytu</w:t>
      </w:r>
      <w:r w:rsidR="00F3740C" w:rsidRPr="00767038">
        <w:rPr>
          <w:lang w:val="pl-PL"/>
        </w:rPr>
        <w:t xml:space="preserve">. </w:t>
      </w:r>
    </w:p>
    <w:p w:rsidR="00C27F98" w:rsidRPr="00767038" w:rsidRDefault="000A2882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Jeżeli w trakcie realizacji programu lub programów SZK zostanie istotnie zmodyfikowany (np. zostaną zmienione procedury mające wpływ na najważniejsze wymagania</w:t>
      </w:r>
      <w:r w:rsidR="00F3740C" w:rsidRPr="00767038">
        <w:rPr>
          <w:lang w:val="pl-PL"/>
        </w:rPr>
        <w:t xml:space="preserve">), </w:t>
      </w:r>
      <w:r w:rsidRPr="00767038">
        <w:rPr>
          <w:lang w:val="pl-PL"/>
        </w:rPr>
        <w:t xml:space="preserve">IA powinna przeprowadzić nowy audyt systemowy SZK, który będzie obejmować nowe aspekty i odpowiednio </w:t>
      </w:r>
      <w:r w:rsidR="00F9669B" w:rsidRPr="00767038">
        <w:rPr>
          <w:lang w:val="pl-PL"/>
        </w:rPr>
        <w:t>uaktualniać</w:t>
      </w:r>
      <w:r w:rsidRPr="00767038">
        <w:rPr>
          <w:lang w:val="pl-PL"/>
        </w:rPr>
        <w:t xml:space="preserve"> ocenę ryzyka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Audyty przeprowadzone w latach 2009-2014 można wykorzystać jako punkt odniesienia dla IA</w:t>
      </w:r>
      <w:r w:rsidR="00F3740C" w:rsidRPr="00767038">
        <w:rPr>
          <w:lang w:val="pl-PL"/>
        </w:rPr>
        <w:t>,</w:t>
      </w:r>
      <w:r w:rsidRPr="00767038">
        <w:rPr>
          <w:lang w:val="pl-PL"/>
        </w:rPr>
        <w:t xml:space="preserve"> w szczególności w ocenie ryzyka, planując audyty </w:t>
      </w:r>
      <w:r w:rsidR="00F9669B" w:rsidRPr="00767038">
        <w:rPr>
          <w:lang w:val="pl-PL"/>
        </w:rPr>
        <w:t>systemowe</w:t>
      </w:r>
      <w:r w:rsidRPr="00767038">
        <w:rPr>
          <w:lang w:val="pl-PL"/>
        </w:rPr>
        <w:t xml:space="preserve"> na lata 2</w:t>
      </w:r>
      <w:r w:rsidR="00F3740C" w:rsidRPr="00767038">
        <w:rPr>
          <w:lang w:val="pl-PL"/>
        </w:rPr>
        <w:t>014-2021</w:t>
      </w:r>
      <w:r w:rsidRPr="00767038">
        <w:rPr>
          <w:lang w:val="pl-PL"/>
        </w:rPr>
        <w:t xml:space="preserve"> dla zbliżonych SZK</w:t>
      </w:r>
      <w:r w:rsidR="00F3740C" w:rsidRPr="00767038">
        <w:rPr>
          <w:lang w:val="pl-PL"/>
        </w:rPr>
        <w:t xml:space="preserve">. </w:t>
      </w:r>
    </w:p>
    <w:p w:rsidR="00CD14A2" w:rsidRPr="00767038" w:rsidRDefault="000A2882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 xml:space="preserve">Audyty </w:t>
      </w:r>
      <w:r w:rsidR="00F9669B" w:rsidRPr="00767038">
        <w:rPr>
          <w:lang w:val="pl-PL"/>
        </w:rPr>
        <w:t>systemowe</w:t>
      </w:r>
      <w:r w:rsidRPr="00767038">
        <w:rPr>
          <w:lang w:val="pl-PL"/>
        </w:rPr>
        <w:t xml:space="preserve"> należy jednak kontynuować w latach 2014-2021 w celu stwierdzenia, czy SZK działa poprawnie w tym okresie. Na miejscu audytor musi dążyć do uzyskania wystarczających i wiarygodnych danych, że stosowany </w:t>
      </w:r>
      <w:r w:rsidR="003909F0" w:rsidRPr="00767038">
        <w:rPr>
          <w:lang w:val="pl-PL"/>
        </w:rPr>
        <w:t xml:space="preserve">SZK </w:t>
      </w:r>
      <w:r w:rsidRPr="00767038">
        <w:rPr>
          <w:lang w:val="pl-PL"/>
        </w:rPr>
        <w:t>działa skutecznie i zgodnie z opisem</w:t>
      </w:r>
      <w:r w:rsidR="00F3740C" w:rsidRPr="00767038">
        <w:rPr>
          <w:lang w:val="pl-PL"/>
        </w:rPr>
        <w:t xml:space="preserve">, </w:t>
      </w:r>
      <w:r w:rsidR="003909F0" w:rsidRPr="00767038">
        <w:rPr>
          <w:lang w:val="pl-PL"/>
        </w:rPr>
        <w:t>w celu</w:t>
      </w:r>
      <w:r w:rsidR="00F9669B" w:rsidRPr="00767038">
        <w:rPr>
          <w:lang w:val="pl-PL"/>
        </w:rPr>
        <w:t xml:space="preserve"> stwierdzenia, czy </w:t>
      </w:r>
      <w:r w:rsidR="003909F0" w:rsidRPr="00767038">
        <w:rPr>
          <w:lang w:val="pl-PL"/>
        </w:rPr>
        <w:t xml:space="preserve">te </w:t>
      </w:r>
      <w:r w:rsidR="00F9669B" w:rsidRPr="00767038">
        <w:rPr>
          <w:lang w:val="pl-PL"/>
        </w:rPr>
        <w:t>systemy są odpowiednie do zapewnienia legalności i prawidłowości wydatków oraz dokładności i kompletności informacji finansowych i pozostałych informacji</w:t>
      </w:r>
      <w:r w:rsidR="00F3740C" w:rsidRPr="00767038">
        <w:rPr>
          <w:lang w:val="pl-PL"/>
        </w:rPr>
        <w:t xml:space="preserve">. </w:t>
      </w:r>
      <w:r w:rsidR="00F9669B" w:rsidRPr="00767038">
        <w:rPr>
          <w:lang w:val="pl-PL"/>
        </w:rPr>
        <w:t xml:space="preserve">Testy kontroli mogą obejmować testy przeglądowe odpowiednich plików </w:t>
      </w:r>
      <w:r w:rsidR="003909F0" w:rsidRPr="00767038">
        <w:rPr>
          <w:lang w:val="pl-PL"/>
        </w:rPr>
        <w:t xml:space="preserve">będących </w:t>
      </w:r>
      <w:r w:rsidR="00F9669B" w:rsidRPr="00767038">
        <w:rPr>
          <w:lang w:val="pl-PL"/>
        </w:rPr>
        <w:t xml:space="preserve">w posiadaniu odpowiednich </w:t>
      </w:r>
      <w:r w:rsidR="003909F0" w:rsidRPr="00767038">
        <w:rPr>
          <w:lang w:val="pl-PL"/>
        </w:rPr>
        <w:t>podmiotów</w:t>
      </w:r>
      <w:r w:rsidR="00F9669B" w:rsidRPr="00767038">
        <w:rPr>
          <w:lang w:val="pl-PL"/>
        </w:rPr>
        <w:t xml:space="preserve">, rozmowy z odpowiedzialnymi pracownikami </w:t>
      </w:r>
      <w:r w:rsidR="003909F0" w:rsidRPr="00767038">
        <w:rPr>
          <w:lang w:val="pl-PL"/>
        </w:rPr>
        <w:t>oraz</w:t>
      </w:r>
      <w:r w:rsidR="00F9669B" w:rsidRPr="00767038">
        <w:rPr>
          <w:lang w:val="pl-PL"/>
        </w:rPr>
        <w:t xml:space="preserve"> badanie próby transakcji</w:t>
      </w:r>
      <w:r w:rsidR="00F3740C" w:rsidRPr="00767038">
        <w:rPr>
          <w:lang w:val="pl-PL"/>
        </w:rPr>
        <w:t xml:space="preserve">. </w:t>
      </w:r>
      <w:r w:rsidR="00591C63" w:rsidRPr="00767038">
        <w:rPr>
          <w:lang w:val="pl-PL"/>
        </w:rPr>
        <w:t>Łącznie należy przeprowadzić wystarczające testy w celu sformułowania zasadnych wniosków na temat właściwego funkcjonowania badanych systemów</w:t>
      </w:r>
      <w:r w:rsidR="00F3740C" w:rsidRPr="00767038">
        <w:rPr>
          <w:lang w:val="pl-PL"/>
        </w:rPr>
        <w:t>.</w:t>
      </w:r>
      <w:r w:rsidR="00591C63" w:rsidRPr="00767038">
        <w:rPr>
          <w:lang w:val="pl-PL"/>
        </w:rPr>
        <w:t xml:space="preserve"> Audytor powinien dostosować faktyczną treść każdego audytu w celu uwzględnienia środowiska kontroli jako elementu fazy przygotowania audytu</w:t>
      </w:r>
      <w:r w:rsidR="00F3740C" w:rsidRPr="00767038">
        <w:rPr>
          <w:lang w:val="pl-PL"/>
        </w:rPr>
        <w:t xml:space="preserve">. </w:t>
      </w:r>
    </w:p>
    <w:p w:rsidR="00C27F98" w:rsidRPr="00767038" w:rsidRDefault="00591C63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W audytach systemowych wykorzystuje się normalnie próby cech, tak aby przetestować szereg cech analizowanej populacji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>W każdym przypadku metoda wyboru próby na potrzeby audytów systemowych jest kwestią profesjonalnego osądu IA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W trakcie audytów systemowych IA </w:t>
      </w:r>
      <w:r w:rsidR="00D44021" w:rsidRPr="00767038">
        <w:rPr>
          <w:lang w:val="pl-PL"/>
        </w:rPr>
        <w:t>musi przetestować różnego rodzaju kluczowe kontrole wewnętrzne</w:t>
      </w:r>
      <w:r w:rsidR="00F3740C" w:rsidRPr="00767038">
        <w:rPr>
          <w:lang w:val="pl-PL"/>
        </w:rPr>
        <w:t xml:space="preserve">. </w:t>
      </w:r>
      <w:r w:rsidR="00D44021" w:rsidRPr="00767038">
        <w:rPr>
          <w:lang w:val="pl-PL"/>
        </w:rPr>
        <w:t xml:space="preserve">Określając liczbę pozycji do testów kontroli, należy rozważyć pewne ogólne czynniki, biorąc pod uwagę </w:t>
      </w:r>
      <w:r w:rsidR="00D44021" w:rsidRPr="00767038">
        <w:rPr>
          <w:rFonts w:cs="Times New Roman"/>
          <w:color w:val="000000"/>
          <w:lang w:val="pl-PL"/>
        </w:rPr>
        <w:t>przyjęte w skali międzynarodow</w:t>
      </w:r>
      <w:r w:rsidR="003909F0" w:rsidRPr="00767038">
        <w:rPr>
          <w:rFonts w:cs="Times New Roman"/>
          <w:color w:val="000000"/>
          <w:lang w:val="pl-PL"/>
        </w:rPr>
        <w:t>ych</w:t>
      </w:r>
      <w:r w:rsidR="00D44021" w:rsidRPr="00767038">
        <w:rPr>
          <w:rFonts w:cs="Times New Roman"/>
          <w:color w:val="000000"/>
          <w:lang w:val="pl-PL"/>
        </w:rPr>
        <w:t xml:space="preserve"> standard</w:t>
      </w:r>
      <w:r w:rsidR="003909F0" w:rsidRPr="00767038">
        <w:rPr>
          <w:rFonts w:cs="Times New Roman"/>
          <w:color w:val="000000"/>
          <w:lang w:val="pl-PL"/>
        </w:rPr>
        <w:t>ów</w:t>
      </w:r>
      <w:r w:rsidR="00D44021" w:rsidRPr="00767038">
        <w:rPr>
          <w:rFonts w:cs="Times New Roman"/>
          <w:color w:val="000000"/>
          <w:lang w:val="pl-PL"/>
        </w:rPr>
        <w:t xml:space="preserve"> audytu</w:t>
      </w:r>
      <w:r w:rsidR="00D44021" w:rsidRPr="00767038">
        <w:rPr>
          <w:lang w:val="pl-PL"/>
        </w:rPr>
        <w:t xml:space="preserve"> </w:t>
      </w:r>
      <w:r w:rsidR="00F3740C" w:rsidRPr="00767038">
        <w:rPr>
          <w:lang w:val="pl-PL"/>
        </w:rPr>
        <w:t>(</w:t>
      </w:r>
      <w:r w:rsidR="00D44021" w:rsidRPr="00767038">
        <w:rPr>
          <w:lang w:val="pl-PL"/>
        </w:rPr>
        <w:t>np</w:t>
      </w:r>
      <w:r w:rsidR="00F3740C" w:rsidRPr="00767038">
        <w:rPr>
          <w:lang w:val="pl-PL"/>
        </w:rPr>
        <w:t xml:space="preserve">. </w:t>
      </w:r>
      <w:r w:rsidR="003909F0" w:rsidRPr="00767038">
        <w:rPr>
          <w:lang w:val="pl-PL"/>
        </w:rPr>
        <w:t xml:space="preserve">ISA </w:t>
      </w:r>
      <w:r w:rsidR="00D44021" w:rsidRPr="00767038">
        <w:rPr>
          <w:lang w:val="pl-PL"/>
        </w:rPr>
        <w:t>330 dotyczący reakcji audytora na ryzyka podlegające ocenie</w:t>
      </w:r>
      <w:r w:rsidR="00F3740C" w:rsidRPr="00767038">
        <w:rPr>
          <w:lang w:val="pl-PL"/>
        </w:rPr>
        <w:t xml:space="preserve">, </w:t>
      </w:r>
      <w:r w:rsidR="003909F0" w:rsidRPr="00767038">
        <w:rPr>
          <w:lang w:val="pl-PL"/>
        </w:rPr>
        <w:t xml:space="preserve">ISSAI </w:t>
      </w:r>
      <w:r w:rsidR="00F3740C" w:rsidRPr="00767038">
        <w:rPr>
          <w:lang w:val="pl-PL"/>
        </w:rPr>
        <w:t xml:space="preserve">4100 </w:t>
      </w:r>
      <w:r w:rsidR="00D44021" w:rsidRPr="00767038">
        <w:rPr>
          <w:lang w:val="pl-PL"/>
        </w:rPr>
        <w:t xml:space="preserve">dotyczący </w:t>
      </w:r>
      <w:r w:rsidR="00D44021" w:rsidRPr="00767038">
        <w:rPr>
          <w:lang w:val="pl-PL"/>
        </w:rPr>
        <w:lastRenderedPageBreak/>
        <w:t>czynników, które należy uwzględnić przy ustalaniu poziomu istotności</w:t>
      </w:r>
      <w:r w:rsidR="00F3740C" w:rsidRPr="00767038">
        <w:rPr>
          <w:lang w:val="pl-PL"/>
        </w:rPr>
        <w:t xml:space="preserve">, </w:t>
      </w:r>
      <w:r w:rsidR="003909F0" w:rsidRPr="00767038">
        <w:rPr>
          <w:lang w:val="pl-PL"/>
        </w:rPr>
        <w:t xml:space="preserve">ISSAI </w:t>
      </w:r>
      <w:r w:rsidR="00F3740C" w:rsidRPr="00767038">
        <w:rPr>
          <w:lang w:val="pl-PL"/>
        </w:rPr>
        <w:t xml:space="preserve">1320 </w:t>
      </w:r>
      <w:r w:rsidR="00D44021" w:rsidRPr="00767038">
        <w:rPr>
          <w:lang w:val="pl-PL"/>
        </w:rPr>
        <w:t>dotyczący poziomu istotności w planowaniu i przeprowadzaniu audytu</w:t>
      </w:r>
      <w:r w:rsidR="00F3740C" w:rsidRPr="00767038">
        <w:rPr>
          <w:lang w:val="pl-PL"/>
        </w:rPr>
        <w:t xml:space="preserve">, </w:t>
      </w:r>
      <w:r w:rsidR="003909F0" w:rsidRPr="00767038">
        <w:rPr>
          <w:lang w:val="pl-PL"/>
        </w:rPr>
        <w:t xml:space="preserve">ISSAI </w:t>
      </w:r>
      <w:r w:rsidR="00F3740C" w:rsidRPr="00767038">
        <w:rPr>
          <w:lang w:val="pl-PL"/>
        </w:rPr>
        <w:t>1450</w:t>
      </w:r>
      <w:r w:rsidR="00D44021" w:rsidRPr="00767038">
        <w:rPr>
          <w:lang w:val="pl-PL"/>
        </w:rPr>
        <w:t xml:space="preserve"> dotyczący oceny nieprawidłowości stwierdzonych w trakcie audytu</w:t>
      </w:r>
      <w:r w:rsidR="00F3740C" w:rsidRPr="00767038">
        <w:rPr>
          <w:lang w:val="pl-PL"/>
        </w:rPr>
        <w:t xml:space="preserve">). </w:t>
      </w:r>
    </w:p>
    <w:p w:rsidR="00F3740C" w:rsidRPr="00767038" w:rsidRDefault="00D44021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Planując audyt systemowy, IA powinna zdefiniować wcześniej próg, powyżej którego nieprawidłowość zostanie uznana za istotną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Jeżeli audyt systemow</w:t>
      </w:r>
      <w:r w:rsidR="001713C8">
        <w:rPr>
          <w:lang w:val="pl-PL"/>
        </w:rPr>
        <w:t>y</w:t>
      </w:r>
      <w:r w:rsidRPr="00767038">
        <w:rPr>
          <w:lang w:val="pl-PL"/>
        </w:rPr>
        <w:t xml:space="preserve"> wykaże, że stwierdzony stopień odchylenia jest wyższy niż próg zdefiniowany przez IA na potrzeby audytu, będzie to oznaczać, że SZK nie spełnia kryterium ustalonego dla wysokie</w:t>
      </w:r>
      <w:r w:rsidR="00B642BD" w:rsidRPr="00767038">
        <w:rPr>
          <w:lang w:val="pl-PL"/>
        </w:rPr>
        <w:t>go</w:t>
      </w:r>
      <w:r w:rsidRPr="00767038">
        <w:rPr>
          <w:lang w:val="pl-PL"/>
        </w:rPr>
        <w:t xml:space="preserve"> poziomu pewności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W konsekwencji SZK należy zaklasyfikować do systemów o przeciętnym lub niskim poziomie pewności, co będzie mieć </w:t>
      </w:r>
      <w:r w:rsidR="001713C8">
        <w:rPr>
          <w:lang w:val="pl-PL"/>
        </w:rPr>
        <w:t>wpływ na</w:t>
      </w:r>
      <w:r w:rsidRPr="00767038">
        <w:rPr>
          <w:lang w:val="pl-PL"/>
        </w:rPr>
        <w:t xml:space="preserve"> określeni</w:t>
      </w:r>
      <w:r w:rsidR="001713C8">
        <w:rPr>
          <w:lang w:val="pl-PL"/>
        </w:rPr>
        <w:t>e</w:t>
      </w:r>
      <w:r w:rsidRPr="00767038">
        <w:rPr>
          <w:lang w:val="pl-PL"/>
        </w:rPr>
        <w:t xml:space="preserve"> wielkości próby w audytach projektów</w:t>
      </w:r>
      <w:r w:rsidR="00F3740C" w:rsidRPr="00767038">
        <w:rPr>
          <w:lang w:val="pl-PL"/>
        </w:rPr>
        <w:t xml:space="preserve">. </w:t>
      </w:r>
    </w:p>
    <w:p w:rsidR="00A32CE9" w:rsidRPr="00767038" w:rsidRDefault="00D44021" w:rsidP="00C27B08">
      <w:pPr>
        <w:pStyle w:val="Nagwek3"/>
        <w:rPr>
          <w:lang w:val="pl-PL"/>
        </w:rPr>
      </w:pPr>
      <w:r w:rsidRPr="00767038">
        <w:rPr>
          <w:lang w:val="pl-PL"/>
        </w:rPr>
        <w:t>Audyty projektów</w:t>
      </w:r>
    </w:p>
    <w:p w:rsidR="00F3740C" w:rsidRPr="00767038" w:rsidRDefault="00420099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Niniejsza sekcja zawiera opis (lub odniesienie do wewnętrznego dokumentu określającego</w:t>
      </w:r>
      <w:r w:rsidR="00F3740C" w:rsidRPr="00767038">
        <w:rPr>
          <w:lang w:val="pl-PL"/>
        </w:rPr>
        <w:t>)</w:t>
      </w:r>
      <w:r w:rsidRPr="00767038">
        <w:rPr>
          <w:lang w:val="pl-PL"/>
        </w:rPr>
        <w:t xml:space="preserve"> metodologię wyboru próby, którą stosuje się zgodnie z art. </w:t>
      </w:r>
      <w:r w:rsidR="00F3740C" w:rsidRPr="00767038">
        <w:rPr>
          <w:lang w:val="pl-PL"/>
        </w:rPr>
        <w:t>5.5.4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F3740C" w:rsidRPr="00767038">
        <w:rPr>
          <w:lang w:val="pl-PL"/>
        </w:rPr>
        <w:t xml:space="preserve"> </w:t>
      </w:r>
      <w:r w:rsidR="003909F0" w:rsidRPr="00767038">
        <w:rPr>
          <w:lang w:val="pl-PL"/>
        </w:rPr>
        <w:t xml:space="preserve">oraz </w:t>
      </w:r>
      <w:r w:rsidRPr="00767038">
        <w:rPr>
          <w:lang w:val="pl-PL"/>
        </w:rPr>
        <w:t>pozostałe specjalne procedury</w:t>
      </w:r>
      <w:r w:rsidR="008C5350">
        <w:rPr>
          <w:lang w:val="pl-PL"/>
        </w:rPr>
        <w:t xml:space="preserve"> dotyczące</w:t>
      </w:r>
      <w:r w:rsidRPr="00767038">
        <w:rPr>
          <w:lang w:val="pl-PL"/>
        </w:rPr>
        <w:t xml:space="preserve"> audytów projektów, mianowicie </w:t>
      </w:r>
      <w:r w:rsidR="008C5350">
        <w:rPr>
          <w:lang w:val="pl-PL"/>
        </w:rPr>
        <w:t>związane z</w:t>
      </w:r>
      <w:r w:rsidR="008C5350" w:rsidRPr="00767038">
        <w:rPr>
          <w:lang w:val="pl-PL"/>
        </w:rPr>
        <w:t xml:space="preserve"> </w:t>
      </w:r>
      <w:r w:rsidRPr="00767038">
        <w:rPr>
          <w:lang w:val="pl-PL"/>
        </w:rPr>
        <w:t>klasyfikacj</w:t>
      </w:r>
      <w:r w:rsidR="008C5350">
        <w:rPr>
          <w:lang w:val="pl-PL"/>
        </w:rPr>
        <w:t>ą</w:t>
      </w:r>
      <w:r w:rsidRPr="00767038">
        <w:rPr>
          <w:lang w:val="pl-PL"/>
        </w:rPr>
        <w:t xml:space="preserve"> i </w:t>
      </w:r>
      <w:r w:rsidR="008C5350">
        <w:rPr>
          <w:lang w:val="pl-PL"/>
        </w:rPr>
        <w:t xml:space="preserve">sposobem </w:t>
      </w:r>
      <w:r w:rsidRPr="00767038">
        <w:rPr>
          <w:lang w:val="pl-PL"/>
        </w:rPr>
        <w:t>postępowania ze stwierdzonymi b</w:t>
      </w:r>
      <w:r w:rsidR="00997178" w:rsidRPr="00767038">
        <w:rPr>
          <w:lang w:val="pl-PL"/>
        </w:rPr>
        <w:t>łędami, w tym podejrzewanymi nadu</w:t>
      </w:r>
      <w:r w:rsidRPr="00767038">
        <w:rPr>
          <w:lang w:val="pl-PL"/>
        </w:rPr>
        <w:t>życiami</w:t>
      </w:r>
      <w:r w:rsidR="00F3740C" w:rsidRPr="00767038">
        <w:rPr>
          <w:lang w:val="pl-PL"/>
        </w:rPr>
        <w:t xml:space="preserve">. </w:t>
      </w:r>
    </w:p>
    <w:p w:rsidR="00A32CE9" w:rsidRPr="00767038" w:rsidRDefault="00997178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IA określa m</w:t>
      </w:r>
      <w:r w:rsidR="00420099" w:rsidRPr="00767038">
        <w:rPr>
          <w:lang w:val="pl-PL"/>
        </w:rPr>
        <w:t>etod</w:t>
      </w:r>
      <w:r w:rsidRPr="00767038">
        <w:rPr>
          <w:lang w:val="pl-PL"/>
        </w:rPr>
        <w:t>ę</w:t>
      </w:r>
      <w:r w:rsidR="00420099" w:rsidRPr="00767038">
        <w:rPr>
          <w:lang w:val="pl-PL"/>
        </w:rPr>
        <w:t xml:space="preserve"> wyboru próby</w:t>
      </w:r>
      <w:r w:rsidR="00F3740C" w:rsidRPr="00767038">
        <w:rPr>
          <w:lang w:val="pl-PL"/>
        </w:rPr>
        <w:t xml:space="preserve">, </w:t>
      </w:r>
      <w:r w:rsidRPr="00767038">
        <w:rPr>
          <w:lang w:val="pl-PL"/>
        </w:rPr>
        <w:t xml:space="preserve">jednostkę </w:t>
      </w:r>
      <w:r w:rsidR="00F86A0B" w:rsidRPr="00767038">
        <w:rPr>
          <w:lang w:val="pl-PL"/>
        </w:rPr>
        <w:t>wy</w:t>
      </w:r>
      <w:r w:rsidRPr="00767038">
        <w:rPr>
          <w:lang w:val="pl-PL"/>
        </w:rPr>
        <w:t>boru próby i parametry wyliczania wielkości próby</w:t>
      </w:r>
      <w:r w:rsidR="003909F0" w:rsidRPr="00767038">
        <w:rPr>
          <w:lang w:val="pl-PL"/>
        </w:rPr>
        <w:t>,</w:t>
      </w:r>
      <w:r w:rsidRPr="00767038">
        <w:rPr>
          <w:lang w:val="pl-PL"/>
        </w:rPr>
        <w:t xml:space="preserve"> w oparciu o profesjonalny osąd i przy uwzględnieniu wymagań regulacyjnych i takich czynników jak charakterystyka populacji i oczekiwania dotyczące poziomu i zmienności błędów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>Regularnie należy dokonywać oceny potrzeby rewizji metodologii wyboru próby, w szczególności każdorazowo przed wyborem próby. Poziom pewności dla wyboru próby określa się zgodnie z poziomem wiarygodności wynikającym z audytów systemowych</w:t>
      </w:r>
      <w:r w:rsidR="001D0157" w:rsidRPr="00767038">
        <w:rPr>
          <w:lang w:val="pl-PL"/>
        </w:rPr>
        <w:t>.</w:t>
      </w:r>
    </w:p>
    <w:p w:rsidR="00A32CE9" w:rsidRPr="00767038" w:rsidRDefault="00997178" w:rsidP="00C27B08">
      <w:pPr>
        <w:pStyle w:val="Nagwek3"/>
        <w:rPr>
          <w:lang w:val="pl-PL"/>
        </w:rPr>
      </w:pPr>
      <w:r w:rsidRPr="00767038">
        <w:rPr>
          <w:lang w:val="pl-PL"/>
        </w:rPr>
        <w:t>Zaplanowane prace audytowe</w:t>
      </w:r>
    </w:p>
    <w:p w:rsidR="00F3740C" w:rsidRPr="00767038" w:rsidRDefault="00997178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>Niniejsza sekcja zawiera opis i uzasadnienie priorytetów audytowych i specyficznych celów związanych z bieżącym rokiem finansowym i dwoma kolejnymi latami finansowymi wraz z wyjaśnieniem powiązania między wynikami oceny ryzyka i zaplanowanymi pracami audytowymi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>Należy uwzględnić opis kryteriów stosowanych w celu ustalania priorytetów audytu</w:t>
      </w:r>
      <w:r w:rsidR="003909F0" w:rsidRPr="00767038">
        <w:rPr>
          <w:lang w:val="pl-PL"/>
        </w:rPr>
        <w:t xml:space="preserve"> oraz uzasadnienie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>Wyniki oceny ryzyka powinny stanowić główną podstawę do ustalenia priorytetów w zaplanowany</w:t>
      </w:r>
      <w:r w:rsidR="00973C91">
        <w:rPr>
          <w:lang w:val="pl-PL"/>
        </w:rPr>
        <w:t>ch</w:t>
      </w:r>
      <w:r w:rsidRPr="00767038">
        <w:rPr>
          <w:lang w:val="pl-PL"/>
        </w:rPr>
        <w:t xml:space="preserve"> pracach audytu systemowego. Zaleca się, aby IA przygotowała ogólny plan na cały okres programowania </w:t>
      </w:r>
      <w:r w:rsidR="00A91054" w:rsidRPr="00767038">
        <w:rPr>
          <w:lang w:val="pl-PL"/>
        </w:rPr>
        <w:t>obejmujący cały SZK,</w:t>
      </w:r>
      <w:r w:rsidR="00F3740C" w:rsidRPr="00767038">
        <w:rPr>
          <w:lang w:val="pl-PL"/>
        </w:rPr>
        <w:t xml:space="preserve"> </w:t>
      </w:r>
      <w:r w:rsidRPr="00767038">
        <w:rPr>
          <w:lang w:val="pl-PL"/>
        </w:rPr>
        <w:t>w celu uzyskania racjonalnej pewności co do jego skuteczności</w:t>
      </w:r>
      <w:r w:rsidR="00F3740C" w:rsidRPr="00767038">
        <w:rPr>
          <w:lang w:val="pl-PL"/>
        </w:rPr>
        <w:t xml:space="preserve">, </w:t>
      </w:r>
      <w:r w:rsidR="00261C5C" w:rsidRPr="00767038">
        <w:rPr>
          <w:lang w:val="pl-PL"/>
        </w:rPr>
        <w:t>w uzupełnieniu do obowiązkowego szczegółowego planowania ustalającego priorytety na bieżący rok finansowy i dwa kolejne lata finansowe</w:t>
      </w:r>
      <w:r w:rsidR="00F3740C" w:rsidRPr="00767038">
        <w:rPr>
          <w:lang w:val="pl-PL"/>
        </w:rPr>
        <w:t xml:space="preserve">. </w:t>
      </w:r>
    </w:p>
    <w:p w:rsidR="00A32CE9" w:rsidRPr="00767038" w:rsidRDefault="00213206" w:rsidP="00C27B08">
      <w:pPr>
        <w:pStyle w:val="Nagwek3"/>
        <w:rPr>
          <w:lang w:val="pl-PL"/>
        </w:rPr>
      </w:pPr>
      <w:r w:rsidRPr="00767038">
        <w:rPr>
          <w:lang w:val="pl-PL"/>
        </w:rPr>
        <w:t>Zasoby</w:t>
      </w:r>
    </w:p>
    <w:p w:rsidR="00CD14A2" w:rsidRPr="00767038" w:rsidRDefault="00261C5C" w:rsidP="00376576">
      <w:pPr>
        <w:rPr>
          <w:lang w:val="pl-PL"/>
        </w:rPr>
      </w:pPr>
      <w:r w:rsidRPr="00767038">
        <w:rPr>
          <w:lang w:val="pl-PL"/>
        </w:rPr>
        <w:t xml:space="preserve">Niniejsza sekcja zawiera schemat organizacyjny IA i informacje na temat jej powiązań z organami audytowymi, które przeprowadzają audyty zgodnie z art. </w:t>
      </w:r>
      <w:r w:rsidR="00F3740C" w:rsidRPr="00767038">
        <w:rPr>
          <w:lang w:val="pl-PL"/>
        </w:rPr>
        <w:t>5.5.2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F3740C" w:rsidRPr="00767038">
        <w:rPr>
          <w:lang w:val="pl-PL"/>
        </w:rPr>
        <w:t xml:space="preserve">. </w:t>
      </w:r>
      <w:r w:rsidR="00F5756C" w:rsidRPr="00767038">
        <w:rPr>
          <w:lang w:val="pl-PL"/>
        </w:rPr>
        <w:t>Określa planowe zasoby, które alokuje się na bieżący rok finansowy i dwa kolejne lata finansowe</w:t>
      </w:r>
      <w:r w:rsidR="00F3740C" w:rsidRPr="00767038">
        <w:rPr>
          <w:lang w:val="pl-PL"/>
        </w:rPr>
        <w:t xml:space="preserve">. </w:t>
      </w:r>
      <w:r w:rsidR="00F5756C" w:rsidRPr="00767038">
        <w:rPr>
          <w:lang w:val="pl-PL"/>
        </w:rPr>
        <w:t xml:space="preserve">Strategia audytu powinna określać dostępne (lub możliwe do mobilizacji) zasoby ludzkie w </w:t>
      </w:r>
      <w:r w:rsidR="00A91054" w:rsidRPr="00767038">
        <w:rPr>
          <w:lang w:val="pl-PL"/>
        </w:rPr>
        <w:t>przeliczeniu na dni</w:t>
      </w:r>
      <w:r w:rsidR="00F5756C" w:rsidRPr="00767038">
        <w:rPr>
          <w:lang w:val="pl-PL"/>
        </w:rPr>
        <w:t xml:space="preserve"> w celu realizacji celów na nadchodzące lata, w tym zasoby pozostałych organów audytowych i prace audytowe </w:t>
      </w:r>
      <w:r w:rsidR="00A35E94" w:rsidRPr="00767038">
        <w:rPr>
          <w:lang w:val="pl-PL"/>
        </w:rPr>
        <w:t>przekazane podmiotom</w:t>
      </w:r>
      <w:r w:rsidR="00F5756C" w:rsidRPr="00767038">
        <w:rPr>
          <w:lang w:val="pl-PL"/>
        </w:rPr>
        <w:t xml:space="preserve"> zewnętrznym</w:t>
      </w:r>
      <w:r w:rsidR="00F3740C" w:rsidRPr="00767038">
        <w:rPr>
          <w:lang w:val="pl-PL"/>
        </w:rPr>
        <w:t xml:space="preserve">. </w:t>
      </w:r>
    </w:p>
    <w:p w:rsidR="00C27F98" w:rsidRPr="00767038" w:rsidRDefault="00F5756C" w:rsidP="00376576">
      <w:pPr>
        <w:rPr>
          <w:lang w:val="pl-PL"/>
        </w:rPr>
      </w:pPr>
      <w:r w:rsidRPr="00767038">
        <w:rPr>
          <w:lang w:val="pl-PL"/>
        </w:rPr>
        <w:t xml:space="preserve">Zaleca się wskazanie oddzielnie dni </w:t>
      </w:r>
      <w:r w:rsidR="00A91054" w:rsidRPr="00767038">
        <w:rPr>
          <w:lang w:val="pl-PL"/>
        </w:rPr>
        <w:t xml:space="preserve">pracy </w:t>
      </w:r>
      <w:r w:rsidRPr="00767038">
        <w:rPr>
          <w:lang w:val="pl-PL"/>
        </w:rPr>
        <w:t xml:space="preserve">audytorów, które są dostępne na poziomie IA, pozostałych organów audytowych i prace przekazane </w:t>
      </w:r>
      <w:r w:rsidR="00A91054" w:rsidRPr="00767038">
        <w:rPr>
          <w:lang w:val="pl-PL"/>
        </w:rPr>
        <w:t>podmiotom</w:t>
      </w:r>
      <w:r w:rsidRPr="00767038">
        <w:rPr>
          <w:lang w:val="pl-PL"/>
        </w:rPr>
        <w:t xml:space="preserve"> zewnętrznym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Należy uwzględnić podział dostępnych dni </w:t>
      </w:r>
      <w:r w:rsidR="00A91054" w:rsidRPr="00767038">
        <w:rPr>
          <w:lang w:val="pl-PL"/>
        </w:rPr>
        <w:t xml:space="preserve">pracy </w:t>
      </w:r>
      <w:r w:rsidRPr="00767038">
        <w:rPr>
          <w:lang w:val="pl-PL"/>
        </w:rPr>
        <w:t>audytorów według rodzaju audytu (audytu systemowego i audytu projektów). Istotne znaczenie ma zapewnienie odpowiednich zasobów od początku okresu programowania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Zaleca się planowanie w długim okresie, </w:t>
      </w:r>
      <w:r w:rsidRPr="00767038">
        <w:rPr>
          <w:lang w:val="pl-PL"/>
        </w:rPr>
        <w:lastRenderedPageBreak/>
        <w:t>tak aby odpowiednio zaplanować przyszłe wymagania dotyczące rekrutacji, szkoleń i ciągłego rozwoju zawodowego</w:t>
      </w:r>
      <w:r w:rsidR="00F3740C" w:rsidRPr="00767038">
        <w:rPr>
          <w:lang w:val="pl-PL"/>
        </w:rPr>
        <w:t>.</w:t>
      </w:r>
      <w:r w:rsidRPr="00767038">
        <w:rPr>
          <w:lang w:val="pl-PL"/>
        </w:rPr>
        <w:t xml:space="preserve"> Należy określić i zaplanować wykorzystanie specjalistycznych umiejętności, tj. jeżeli przewiduje się przekazanie prac </w:t>
      </w:r>
      <w:r w:rsidR="00A91054" w:rsidRPr="00767038">
        <w:rPr>
          <w:lang w:val="pl-PL"/>
        </w:rPr>
        <w:t xml:space="preserve">podmiotom </w:t>
      </w:r>
      <w:r w:rsidRPr="00767038">
        <w:rPr>
          <w:lang w:val="pl-PL"/>
        </w:rPr>
        <w:t>zewnętrznym</w:t>
      </w:r>
      <w:r w:rsidR="00F3740C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Jeżeli IA i organy audytowe nie zmieniły się od okresu programowania </w:t>
      </w:r>
      <w:r w:rsidR="00F3740C" w:rsidRPr="00767038">
        <w:rPr>
          <w:lang w:val="pl-PL"/>
        </w:rPr>
        <w:t xml:space="preserve">2009-2014, </w:t>
      </w:r>
      <w:r w:rsidRPr="00767038">
        <w:rPr>
          <w:lang w:val="pl-PL"/>
        </w:rPr>
        <w:t>istotne znaczenie ma także zaplanowanie odpowiednich zasobów na bieżący okres programowania.</w:t>
      </w:r>
    </w:p>
    <w:p w:rsidR="00F3740C" w:rsidRPr="00767038" w:rsidRDefault="00F5756C" w:rsidP="00376576">
      <w:pPr>
        <w:rPr>
          <w:lang w:val="pl-PL"/>
        </w:rPr>
      </w:pPr>
      <w:r w:rsidRPr="00767038">
        <w:rPr>
          <w:lang w:val="pl-PL"/>
        </w:rPr>
        <w:t xml:space="preserve">Z tego względu IA powinna potwierdzić, że wskazane zasoby będą dostępne oprócz zasobów alokowanych na pozostałe prace audytowe na bieżący okres, mając na uwadze obciążenie pracą w ramach zakończenia programów na lata </w:t>
      </w:r>
      <w:r w:rsidR="00F3740C" w:rsidRPr="00767038">
        <w:rPr>
          <w:lang w:val="pl-PL"/>
        </w:rPr>
        <w:t xml:space="preserve">2009-2014. </w:t>
      </w:r>
      <w:r w:rsidRPr="00767038">
        <w:rPr>
          <w:lang w:val="pl-PL"/>
        </w:rPr>
        <w:t xml:space="preserve">W odniesieniu do zasobów audytowych wytyczne określają Europejskie Wytyczne nr 11 </w:t>
      </w:r>
      <w:r w:rsidR="00A91054" w:rsidRPr="00767038">
        <w:rPr>
          <w:lang w:val="pl-PL"/>
        </w:rPr>
        <w:t xml:space="preserve">INTOSAI </w:t>
      </w:r>
      <w:r w:rsidRPr="00767038">
        <w:rPr>
          <w:lang w:val="pl-PL"/>
        </w:rPr>
        <w:t xml:space="preserve">i </w:t>
      </w:r>
      <w:r w:rsidR="00965F13" w:rsidRPr="00767038">
        <w:rPr>
          <w:lang w:val="pl-PL"/>
        </w:rPr>
        <w:t>standardy I</w:t>
      </w:r>
      <w:r w:rsidR="00A91054" w:rsidRPr="00767038">
        <w:rPr>
          <w:lang w:val="pl-PL"/>
        </w:rPr>
        <w:t>IA</w:t>
      </w:r>
      <w:r w:rsidR="00F3740C" w:rsidRPr="00767038">
        <w:rPr>
          <w:lang w:val="pl-PL"/>
        </w:rPr>
        <w:t>.</w:t>
      </w:r>
    </w:p>
    <w:p w:rsidR="00F3740C" w:rsidRPr="00767038" w:rsidRDefault="00965F13" w:rsidP="00A0039A">
      <w:pPr>
        <w:pStyle w:val="Nagwek2"/>
        <w:rPr>
          <w:lang w:val="pl-PL"/>
        </w:rPr>
      </w:pPr>
      <w:bookmarkStart w:id="108" w:name="_Toc505238522"/>
      <w:r w:rsidRPr="00767038">
        <w:rPr>
          <w:iCs/>
          <w:lang w:val="pl-PL"/>
        </w:rPr>
        <w:t xml:space="preserve">Raport roczny z audytu </w:t>
      </w:r>
      <w:r w:rsidR="00A91054" w:rsidRPr="00767038">
        <w:rPr>
          <w:iCs/>
          <w:lang w:val="pl-PL"/>
        </w:rPr>
        <w:t xml:space="preserve">oraz </w:t>
      </w:r>
      <w:r w:rsidRPr="00767038">
        <w:rPr>
          <w:iCs/>
          <w:lang w:val="pl-PL"/>
        </w:rPr>
        <w:t>opinia z audytu</w:t>
      </w:r>
      <w:r w:rsidR="00F3740C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F3740C" w:rsidRPr="00767038">
        <w:rPr>
          <w:iCs/>
          <w:lang w:val="pl-PL"/>
        </w:rPr>
        <w:t xml:space="preserve">rt. 5.5.1 </w:t>
      </w:r>
      <w:r w:rsidRPr="00767038">
        <w:rPr>
          <w:iCs/>
          <w:lang w:val="pl-PL"/>
        </w:rPr>
        <w:t xml:space="preserve">lit. </w:t>
      </w:r>
      <w:r w:rsidR="00F3740C" w:rsidRPr="00767038">
        <w:rPr>
          <w:iCs/>
          <w:lang w:val="pl-PL"/>
        </w:rPr>
        <w:t>(e)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F3740C" w:rsidRPr="00767038">
        <w:rPr>
          <w:iCs/>
          <w:lang w:val="pl-PL"/>
        </w:rPr>
        <w:t>)</w:t>
      </w:r>
      <w:bookmarkEnd w:id="108"/>
    </w:p>
    <w:p w:rsidR="00F3740C" w:rsidRPr="00767038" w:rsidRDefault="00FB2938" w:rsidP="00376576">
      <w:pPr>
        <w:autoSpaceDE w:val="0"/>
        <w:autoSpaceDN w:val="0"/>
        <w:adjustRightInd w:val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349250</wp:posOffset>
                </wp:positionV>
                <wp:extent cx="3076575" cy="5448300"/>
                <wp:effectExtent l="9525" t="6350" r="9525" b="12700"/>
                <wp:wrapTight wrapText="left">
                  <wp:wrapPolygon edited="0">
                    <wp:start x="3277" y="-38"/>
                    <wp:lineTo x="2742" y="0"/>
                    <wp:lineTo x="1404" y="415"/>
                    <wp:lineTo x="1404" y="566"/>
                    <wp:lineTo x="736" y="1171"/>
                    <wp:lineTo x="267" y="1775"/>
                    <wp:lineTo x="0" y="2379"/>
                    <wp:lineTo x="-67" y="2983"/>
                    <wp:lineTo x="-67" y="18692"/>
                    <wp:lineTo x="67" y="19297"/>
                    <wp:lineTo x="334" y="19901"/>
                    <wp:lineTo x="802" y="20505"/>
                    <wp:lineTo x="1605" y="21185"/>
                    <wp:lineTo x="2876" y="21600"/>
                    <wp:lineTo x="3076" y="21600"/>
                    <wp:lineTo x="18457" y="21600"/>
                    <wp:lineTo x="18724" y="21600"/>
                    <wp:lineTo x="19928" y="21185"/>
                    <wp:lineTo x="20798" y="20505"/>
                    <wp:lineTo x="21199" y="19901"/>
                    <wp:lineTo x="21466" y="19297"/>
                    <wp:lineTo x="21667" y="18692"/>
                    <wp:lineTo x="21667" y="2983"/>
                    <wp:lineTo x="21533" y="2379"/>
                    <wp:lineTo x="21266" y="1775"/>
                    <wp:lineTo x="20196" y="453"/>
                    <wp:lineTo x="18791" y="0"/>
                    <wp:lineTo x="18256" y="-38"/>
                    <wp:lineTo x="3277" y="-38"/>
                  </wp:wrapPolygon>
                </wp:wrapTight>
                <wp:docPr id="3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5448300"/>
                        </a:xfrm>
                        <a:prstGeom prst="wedgeRoundRectCallout">
                          <a:avLst>
                            <a:gd name="adj1" fmla="val -47833"/>
                            <a:gd name="adj2" fmla="val -189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B13AA6" w:rsidRDefault="00C522D7" w:rsidP="00B13AA6">
                            <w:pP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 terminie do dnia 15 lutego każdego roku w latach 2019-2025 Instytucja Audytu jest odpowiedzialna za:</w:t>
                            </w:r>
                          </w:p>
                          <w:p w:rsidR="00C522D7" w:rsidRPr="00B13AA6" w:rsidRDefault="00C522D7" w:rsidP="00B13AA6">
                            <w:pP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(i)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przedkładanie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do KMF/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MSZ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rocznego 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raportu z audytu,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przedstawiającego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wyniki audytów przeprowadzonych w okres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poprzednich 12 miesięcy kończąc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ych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się 31 grudnia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danego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roku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,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zgodnie ze strategią audyt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u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dla 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programu,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oraz zgłaszanie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wszelki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ch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niedociągnięć wykrytych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 systemach zarządzania i kontroli. Pierwszy raport,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składany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do dnia 15 lutego 2019 r., obejmuje okres do dnia 31 grudnia 2018 r. Informacje dotyczące audytów przeprowadzanych po dniu 1 stycznia 2025 r. uwzględnia się w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końcowym 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raporcie z audytu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jako 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uzupełni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enie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deklaracj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zamknięcia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, o której mowa w lit. (f),</w:t>
                            </w:r>
                          </w:p>
                          <w:p w:rsidR="00C522D7" w:rsidRPr="00B13AA6" w:rsidRDefault="00C522D7" w:rsidP="00B13AA6">
                            <w:pP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(ii) wyda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wa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nie opinii na potrzeby KMF/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MSZ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na podstawie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kontrol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i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i audyt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ów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przeprowadzon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ych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w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ramach jego obowiązków, w celu sprawdzenia, czy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system zarządzania i kontroli działa skutecznie, aby zapewnić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w sposób wystarczający, 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że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przedstawione deklaracje faktycznie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poniesionych wydatków, które przedkłada się KMF/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N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MSZ są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prawidłowe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, a transakcje będące ich podstawą są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terminowe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i </w:t>
                            </w:r>
                            <w: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>zgodne z prawem</w:t>
                            </w:r>
                            <w:r w:rsidRPr="00B13AA6"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  <w:t xml:space="preserve"> (art. 5.5.1 lit. (e) rozporządzeń).</w:t>
                            </w:r>
                          </w:p>
                          <w:p w:rsidR="00C522D7" w:rsidRPr="00767038" w:rsidRDefault="00C522D7" w:rsidP="00B13AA6">
                            <w:pPr>
                              <w:rPr>
                                <w:color w:val="4472C4" w:themeColor="accent5"/>
                                <w:sz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" o:spid="_x0000_s1050" type="#_x0000_t62" style="position:absolute;left:0;text-align:left;margin-left:188.25pt;margin-top:27.5pt;width:242.25pt;height:42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" adj="468,6702" fillcolor="white [3201]" strokecolor="black [3200]" strokeweight="1pt">
                <v:textbox>
                  <w:txbxContent>
                    <w:p w:rsidR="00C522D7" w:rsidRPr="00B13AA6" w:rsidRDefault="00C522D7" w:rsidP="00B13AA6">
                      <w:pPr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>W terminie do dnia 15 lutego każdego roku w latach 2019-2025 Instytucja Audytu jest odpowiedzialna za:</w:t>
                      </w:r>
                    </w:p>
                    <w:p w:rsidR="00C522D7" w:rsidRPr="00B13AA6" w:rsidRDefault="00C522D7" w:rsidP="00B13AA6">
                      <w:pPr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(i)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przedkładanie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do KMF/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MSZ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rocznego 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raportu z audytu,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przedstawiającego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wyniki audytów przeprowadzonych w okres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poprzednich 12 miesięcy kończąc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ych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się 31 grudnia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danego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roku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,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zgodnie ze strategią audyt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u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dla 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programu,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oraz zgłaszanie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wszelki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ch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niedociągnięć wykrytych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 systemach zarządzania i kontroli. Pierwszy raport,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składany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do dnia 15 lutego 2019 r., obejmuje okres do dnia 31 grudnia 2018 r. Informacje dotyczące audytów przeprowadzanych po dniu 1 stycznia 2025 r. uwzględnia się w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końcowym 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raporcie z audytu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jako 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>uzupełni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enie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deklaracj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zamknięcia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>, o której mowa w lit. (f),</w:t>
                      </w:r>
                    </w:p>
                    <w:p w:rsidR="00C522D7" w:rsidRPr="00B13AA6" w:rsidRDefault="00C522D7" w:rsidP="00B13AA6">
                      <w:pPr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>(ii) wyda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wa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>nie opinii na potrzeby KMF/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MSZ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na podstawie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kontrol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i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i audyt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ów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przeprowadzon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ych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w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ramach jego obowiązków, w celu sprawdzenia, czy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system zarządzania i kontroli działa skutecznie, aby zapewnić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w sposób wystarczający, 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że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przedstawione deklaracje faktycznie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poniesionych wydatków, które przedkłada się KMF/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N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MSZ są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prawidłowe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, a transakcje będące ich podstawą są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terminowe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i </w:t>
                      </w:r>
                      <w:r>
                        <w:rPr>
                          <w:color w:val="4472C4" w:themeColor="accent5"/>
                          <w:sz w:val="18"/>
                          <w:lang w:val="pl-PL"/>
                        </w:rPr>
                        <w:t>zgodne z prawem</w:t>
                      </w:r>
                      <w:r w:rsidRPr="00B13AA6">
                        <w:rPr>
                          <w:color w:val="4472C4" w:themeColor="accent5"/>
                          <w:sz w:val="18"/>
                          <w:lang w:val="pl-PL"/>
                        </w:rPr>
                        <w:t xml:space="preserve"> (art. 5.5.1 lit. (e) rozporządzeń).</w:t>
                      </w:r>
                    </w:p>
                    <w:p w:rsidR="00C522D7" w:rsidRPr="00767038" w:rsidRDefault="00C522D7" w:rsidP="00B13AA6">
                      <w:pPr>
                        <w:rPr>
                          <w:color w:val="4472C4" w:themeColor="accent5"/>
                          <w:sz w:val="18"/>
                          <w:lang w:val="pl-PL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B13AA6" w:rsidRPr="00767038">
        <w:rPr>
          <w:lang w:val="pl-PL"/>
        </w:rPr>
        <w:t>Raport roczny z audytu i opinia z audytu IA stanowią istotny element, dzięki któremu KMF/</w:t>
      </w:r>
      <w:r w:rsidR="00C604D9" w:rsidRPr="00767038">
        <w:rPr>
          <w:lang w:val="pl-PL"/>
        </w:rPr>
        <w:t>NMSZ</w:t>
      </w:r>
      <w:r w:rsidR="00B13AA6" w:rsidRPr="00767038">
        <w:rPr>
          <w:lang w:val="pl-PL"/>
        </w:rPr>
        <w:t xml:space="preserve"> zyskuje racjonalną pewność na temat właściwego działania </w:t>
      </w:r>
      <w:r w:rsidR="00137B41" w:rsidRPr="00767038">
        <w:rPr>
          <w:lang w:val="pl-PL"/>
        </w:rPr>
        <w:t xml:space="preserve">systemu zarządzania i kontroli </w:t>
      </w:r>
      <w:r w:rsidR="00B13AA6" w:rsidRPr="00767038">
        <w:rPr>
          <w:lang w:val="pl-PL"/>
        </w:rPr>
        <w:t xml:space="preserve">w </w:t>
      </w:r>
      <w:r w:rsidR="00137B41" w:rsidRPr="00767038">
        <w:rPr>
          <w:lang w:val="pl-PL"/>
        </w:rPr>
        <w:t>P</w:t>
      </w:r>
      <w:r w:rsidR="00B13AA6" w:rsidRPr="00767038">
        <w:rPr>
          <w:lang w:val="pl-PL"/>
        </w:rPr>
        <w:t>aństwach</w:t>
      </w:r>
      <w:r w:rsidR="00137B41" w:rsidRPr="00767038">
        <w:rPr>
          <w:lang w:val="pl-PL"/>
        </w:rPr>
        <w:t>-Beneficjentach</w:t>
      </w:r>
      <w:r w:rsidR="00B13AA6" w:rsidRPr="00767038">
        <w:rPr>
          <w:lang w:val="pl-PL"/>
        </w:rPr>
        <w:t>, legalności i prawidłowości zgłoszonych wydatków oraz dokładności, kompletności i wiarygodności ksiąg</w:t>
      </w:r>
      <w:r w:rsidR="00B641B4" w:rsidRPr="00767038">
        <w:rPr>
          <w:lang w:val="pl-PL"/>
        </w:rPr>
        <w:t>.</w:t>
      </w:r>
      <w:r w:rsidR="00B13AA6" w:rsidRPr="00767038">
        <w:rPr>
          <w:lang w:val="pl-PL"/>
        </w:rPr>
        <w:t xml:space="preserve"> IA przeprowadza wszelkie prace audytowe, które są niezbędne w celu sporządzenia ważnej opinii z audytu za każdy rok finansowy</w:t>
      </w:r>
      <w:r w:rsidR="00B641B4" w:rsidRPr="00767038">
        <w:rPr>
          <w:lang w:val="pl-PL"/>
        </w:rPr>
        <w:t xml:space="preserve">. </w:t>
      </w:r>
    </w:p>
    <w:p w:rsidR="00F3740C" w:rsidRPr="00767038" w:rsidRDefault="00B13AA6" w:rsidP="00376576">
      <w:pPr>
        <w:autoSpaceDE w:val="0"/>
        <w:autoSpaceDN w:val="0"/>
        <w:adjustRightInd w:val="0"/>
        <w:rPr>
          <w:lang w:val="pl-PL"/>
        </w:rPr>
      </w:pPr>
      <w:r w:rsidRPr="00767038">
        <w:rPr>
          <w:lang w:val="pl-PL"/>
        </w:rPr>
        <w:t xml:space="preserve">W przypadku stwierdzenia przez IA nieprawidłowości Instytucja ds. </w:t>
      </w:r>
      <w:r w:rsidR="00137B41" w:rsidRPr="00767038">
        <w:rPr>
          <w:lang w:val="pl-PL"/>
        </w:rPr>
        <w:t>n</w:t>
      </w:r>
      <w:r w:rsidRPr="00767038">
        <w:rPr>
          <w:lang w:val="pl-PL"/>
        </w:rPr>
        <w:t xml:space="preserve">ieprawidłowości powinna je zgłosić </w:t>
      </w:r>
      <w:r w:rsidR="00137B41" w:rsidRPr="00767038">
        <w:rPr>
          <w:lang w:val="pl-PL"/>
        </w:rPr>
        <w:t xml:space="preserve">do </w:t>
      </w:r>
      <w:r w:rsidRPr="00767038">
        <w:rPr>
          <w:lang w:val="pl-PL"/>
        </w:rPr>
        <w:t>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zgodnie z </w:t>
      </w:r>
      <w:r w:rsidR="00137B41" w:rsidRPr="00767038">
        <w:rPr>
          <w:lang w:val="pl-PL"/>
        </w:rPr>
        <w:t xml:space="preserve">Regulacjami </w:t>
      </w:r>
      <w:r w:rsidRPr="00767038">
        <w:rPr>
          <w:lang w:val="pl-PL"/>
        </w:rPr>
        <w:t>i w formacie określonym przez KMF/</w:t>
      </w:r>
      <w:r w:rsidR="00C604D9" w:rsidRPr="00767038">
        <w:rPr>
          <w:lang w:val="pl-PL"/>
        </w:rPr>
        <w:t>NMSZ</w:t>
      </w:r>
      <w:r w:rsidR="00F3740C" w:rsidRPr="00767038">
        <w:rPr>
          <w:lang w:val="pl-PL"/>
        </w:rPr>
        <w:t>.</w:t>
      </w:r>
    </w:p>
    <w:p w:rsidR="00137B41" w:rsidRPr="00767038" w:rsidRDefault="00137B41" w:rsidP="00137B41">
      <w:pPr>
        <w:pStyle w:val="Nagwek3"/>
        <w:numPr>
          <w:ilvl w:val="0"/>
          <w:numId w:val="0"/>
        </w:numPr>
        <w:rPr>
          <w:rFonts w:eastAsiaTheme="minorHAnsi"/>
          <w:b w:val="0"/>
          <w:bCs w:val="0"/>
          <w:i w:val="0"/>
          <w:iCs w:val="0"/>
          <w:color w:val="auto"/>
          <w:szCs w:val="22"/>
          <w:lang w:val="pl-PL"/>
        </w:rPr>
      </w:pPr>
      <w:r w:rsidRPr="00767038">
        <w:rPr>
          <w:rFonts w:eastAsiaTheme="minorHAnsi"/>
          <w:b w:val="0"/>
          <w:bCs w:val="0"/>
          <w:i w:val="0"/>
          <w:iCs w:val="0"/>
          <w:color w:val="auto"/>
          <w:szCs w:val="22"/>
          <w:lang w:val="pl-PL"/>
        </w:rPr>
        <w:t>Roczny raport z audytu powinien zawierać co najmniej elementy, o których mowa w podsekcjach poniżej:</w:t>
      </w:r>
    </w:p>
    <w:p w:rsidR="00B13AA6" w:rsidRPr="00767038" w:rsidRDefault="00B13AA6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Wprowadzenie </w:t>
      </w:r>
    </w:p>
    <w:p w:rsidR="00F3740C" w:rsidRPr="00767038" w:rsidRDefault="00B13AA6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okres odniesienia</w:t>
      </w:r>
      <w:r w:rsidR="00F3740C" w:rsidRPr="00767038">
        <w:rPr>
          <w:rFonts w:cs="Times New Roman"/>
          <w:color w:val="000000"/>
          <w:lang w:val="pl-PL"/>
        </w:rPr>
        <w:t xml:space="preserve"> (</w:t>
      </w:r>
      <w:r w:rsidRPr="00767038">
        <w:rPr>
          <w:rFonts w:cs="Times New Roman"/>
          <w:color w:val="000000"/>
          <w:lang w:val="pl-PL"/>
        </w:rPr>
        <w:t>tj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rok finansowy</w:t>
      </w:r>
      <w:r w:rsidR="00F3740C" w:rsidRPr="00767038">
        <w:rPr>
          <w:rFonts w:cs="Times New Roman"/>
          <w:color w:val="000000"/>
          <w:lang w:val="pl-PL"/>
        </w:rPr>
        <w:t>);</w:t>
      </w:r>
    </w:p>
    <w:p w:rsidR="00F3740C" w:rsidRPr="00767038" w:rsidRDefault="00B13AA6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odniesienie do mającej zastosowanie </w:t>
      </w:r>
      <w:r w:rsidR="0096614F" w:rsidRPr="00767038">
        <w:rPr>
          <w:rFonts w:cs="Times New Roman"/>
          <w:color w:val="000000"/>
          <w:lang w:val="pl-PL"/>
        </w:rPr>
        <w:t>wersji strategii audytu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96614F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okres audytu</w:t>
      </w:r>
      <w:r w:rsidR="00F3740C" w:rsidRPr="00767038">
        <w:rPr>
          <w:rFonts w:cs="Times New Roman"/>
          <w:color w:val="000000"/>
          <w:lang w:val="pl-PL"/>
        </w:rPr>
        <w:t xml:space="preserve"> (</w:t>
      </w:r>
      <w:r w:rsidRPr="00767038">
        <w:rPr>
          <w:rFonts w:cs="Times New Roman"/>
          <w:color w:val="000000"/>
          <w:lang w:val="pl-PL"/>
        </w:rPr>
        <w:t>okres przeprowadzania prac audytowych</w:t>
      </w:r>
      <w:r w:rsidR="00F3740C" w:rsidRPr="00767038">
        <w:rPr>
          <w:rFonts w:cs="Times New Roman"/>
          <w:color w:val="000000"/>
          <w:lang w:val="pl-PL"/>
        </w:rPr>
        <w:t>);</w:t>
      </w:r>
    </w:p>
    <w:p w:rsidR="00F3740C" w:rsidRPr="00767038" w:rsidRDefault="0096614F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wskazanie programu lub programów objętych raportem i odpowiednich </w:t>
      </w:r>
      <w:r w:rsidR="00315981" w:rsidRPr="00767038">
        <w:rPr>
          <w:rFonts w:cs="Times New Roman"/>
          <w:color w:val="000000"/>
          <w:lang w:val="pl-PL"/>
        </w:rPr>
        <w:t>Operator</w:t>
      </w:r>
      <w:r w:rsidR="00137B41" w:rsidRPr="00767038">
        <w:rPr>
          <w:rFonts w:cs="Times New Roman"/>
          <w:color w:val="000000"/>
          <w:lang w:val="pl-PL"/>
        </w:rPr>
        <w:t>ów</w:t>
      </w:r>
      <w:r w:rsidR="00315981" w:rsidRPr="00767038">
        <w:rPr>
          <w:rFonts w:cs="Times New Roman"/>
          <w:color w:val="000000"/>
          <w:lang w:val="pl-PL"/>
        </w:rPr>
        <w:t xml:space="preserve"> Program</w:t>
      </w:r>
      <w:r w:rsidR="00137B41" w:rsidRPr="00767038">
        <w:rPr>
          <w:rFonts w:cs="Times New Roman"/>
          <w:color w:val="000000"/>
          <w:lang w:val="pl-PL"/>
        </w:rPr>
        <w:t>ów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96614F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lastRenderedPageBreak/>
        <w:t xml:space="preserve">opis działań podjętych w celu przygotowania raportu i sporządzenia opinii z audytu </w:t>
      </w:r>
      <w:r w:rsidR="00F3740C" w:rsidRPr="00767038">
        <w:rPr>
          <w:rFonts w:cs="Times New Roman"/>
          <w:color w:val="000000"/>
          <w:lang w:val="pl-PL"/>
        </w:rPr>
        <w:t>(</w:t>
      </w:r>
      <w:r w:rsidRPr="00767038">
        <w:rPr>
          <w:rFonts w:cs="Times New Roman"/>
          <w:color w:val="000000"/>
          <w:lang w:val="pl-PL"/>
        </w:rPr>
        <w:t>fazy przygotowania, analiz</w:t>
      </w:r>
      <w:r w:rsidR="00952CDC">
        <w:rPr>
          <w:rFonts w:cs="Times New Roman"/>
          <w:color w:val="000000"/>
          <w:lang w:val="pl-PL"/>
        </w:rPr>
        <w:t>a</w:t>
      </w:r>
      <w:r w:rsidRPr="00767038">
        <w:rPr>
          <w:rFonts w:cs="Times New Roman"/>
          <w:color w:val="000000"/>
          <w:lang w:val="pl-PL"/>
        </w:rPr>
        <w:t xml:space="preserve"> dokumentacji, koordynacj</w:t>
      </w:r>
      <w:r w:rsidR="00952CDC">
        <w:rPr>
          <w:rFonts w:cs="Times New Roman"/>
          <w:color w:val="000000"/>
          <w:lang w:val="pl-PL"/>
        </w:rPr>
        <w:t>a</w:t>
      </w:r>
      <w:r w:rsidRPr="00767038">
        <w:rPr>
          <w:rFonts w:cs="Times New Roman"/>
          <w:color w:val="000000"/>
          <w:lang w:val="pl-PL"/>
        </w:rPr>
        <w:t xml:space="preserve"> z pozostałymi organami (jeżeli </w:t>
      </w:r>
      <w:r w:rsidR="00137B41" w:rsidRPr="00767038">
        <w:rPr>
          <w:rFonts w:cs="Times New Roman"/>
          <w:color w:val="000000"/>
          <w:lang w:val="pl-PL"/>
        </w:rPr>
        <w:t>dotyczy</w:t>
      </w:r>
      <w:r w:rsidRPr="00767038">
        <w:rPr>
          <w:rFonts w:cs="Times New Roman"/>
          <w:color w:val="000000"/>
          <w:lang w:val="pl-PL"/>
        </w:rPr>
        <w:t>), przeprowadzan</w:t>
      </w:r>
      <w:r w:rsidR="00952CDC">
        <w:rPr>
          <w:rFonts w:cs="Times New Roman"/>
          <w:color w:val="000000"/>
          <w:lang w:val="pl-PL"/>
        </w:rPr>
        <w:t>ie</w:t>
      </w:r>
      <w:r w:rsidRPr="00767038">
        <w:rPr>
          <w:rFonts w:cs="Times New Roman"/>
          <w:color w:val="000000"/>
          <w:lang w:val="pl-PL"/>
        </w:rPr>
        <w:t xml:space="preserve"> prac audytowych i sporządz</w:t>
      </w:r>
      <w:r w:rsidR="00952CDC">
        <w:rPr>
          <w:rFonts w:cs="Times New Roman"/>
          <w:color w:val="000000"/>
          <w:lang w:val="pl-PL"/>
        </w:rPr>
        <w:t>a</w:t>
      </w:r>
      <w:r w:rsidRPr="00767038">
        <w:rPr>
          <w:rFonts w:cs="Times New Roman"/>
          <w:color w:val="000000"/>
          <w:lang w:val="pl-PL"/>
        </w:rPr>
        <w:t>ni</w:t>
      </w:r>
      <w:r w:rsidR="00952CDC">
        <w:rPr>
          <w:rFonts w:cs="Times New Roman"/>
          <w:color w:val="000000"/>
          <w:lang w:val="pl-PL"/>
        </w:rPr>
        <w:t>e</w:t>
      </w:r>
      <w:r w:rsidRPr="00767038">
        <w:rPr>
          <w:rFonts w:cs="Times New Roman"/>
          <w:color w:val="000000"/>
          <w:lang w:val="pl-PL"/>
        </w:rPr>
        <w:t xml:space="preserve"> opinii z audytu</w:t>
      </w:r>
      <w:r w:rsidR="00F3740C" w:rsidRPr="00767038">
        <w:rPr>
          <w:rFonts w:cs="Times New Roman"/>
          <w:color w:val="000000"/>
          <w:lang w:val="pl-PL"/>
        </w:rPr>
        <w:t>).</w:t>
      </w:r>
    </w:p>
    <w:p w:rsidR="00F3740C" w:rsidRPr="00767038" w:rsidRDefault="00FC3819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 </w:t>
      </w:r>
      <w:r w:rsidR="0096614F" w:rsidRPr="00767038">
        <w:rPr>
          <w:lang w:val="pl-PL"/>
        </w:rPr>
        <w:t>Istotne zmiany w systemach zarządzania i kontroli</w:t>
      </w:r>
    </w:p>
    <w:p w:rsidR="00F3740C" w:rsidRPr="00767038" w:rsidRDefault="0096614F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Szczegółowe informacje na temat istotnych zmian w systemach zarządzania i kontroli związane z zakresem odpowiedzialności </w:t>
      </w:r>
      <w:r w:rsidR="00137B41" w:rsidRPr="00767038">
        <w:rPr>
          <w:rFonts w:cs="Times New Roman"/>
          <w:color w:val="000000"/>
          <w:lang w:val="pl-PL"/>
        </w:rPr>
        <w:t>podmiotów</w:t>
      </w:r>
      <w:r w:rsidRPr="00767038">
        <w:rPr>
          <w:rFonts w:cs="Times New Roman"/>
          <w:color w:val="000000"/>
          <w:lang w:val="pl-PL"/>
        </w:rPr>
        <w:t xml:space="preserve"> zaangażowanych na poziomie krajowym i programów. Istotne zmiany odnoszą się do zmian, które mogą mieć wpływ na poprawne funkcjonowanie </w:t>
      </w:r>
      <w:r w:rsidR="00137B41" w:rsidRPr="00767038">
        <w:rPr>
          <w:rFonts w:cs="Times New Roman"/>
          <w:color w:val="000000"/>
          <w:lang w:val="pl-PL"/>
        </w:rPr>
        <w:t>systemu zarządzania i kontroli</w:t>
      </w:r>
      <w:r w:rsidRPr="00767038">
        <w:rPr>
          <w:rFonts w:cs="Times New Roman"/>
          <w:color w:val="000000"/>
          <w:lang w:val="pl-PL"/>
        </w:rPr>
        <w:t xml:space="preserve"> i poziom ich pewności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Oczekuje się, że IA potwierdzi, że takie zmiany nie mają wpływu na wniosk</w:t>
      </w:r>
      <w:r w:rsidR="00137B41" w:rsidRPr="00767038">
        <w:rPr>
          <w:rFonts w:cs="Times New Roman"/>
          <w:color w:val="000000"/>
          <w:lang w:val="pl-PL"/>
        </w:rPr>
        <w:t>i</w:t>
      </w:r>
      <w:r w:rsidRPr="00767038">
        <w:rPr>
          <w:rFonts w:cs="Times New Roman"/>
          <w:color w:val="000000"/>
          <w:lang w:val="pl-PL"/>
        </w:rPr>
        <w:t xml:space="preserve"> opinii, która została uprzednio wydana w oparciu o art. </w:t>
      </w:r>
      <w:r w:rsidR="00F3740C" w:rsidRPr="00767038">
        <w:rPr>
          <w:rFonts w:cs="Times New Roman"/>
          <w:color w:val="000000"/>
          <w:lang w:val="pl-PL"/>
        </w:rPr>
        <w:t xml:space="preserve">5.5.1 </w:t>
      </w:r>
      <w:r w:rsidRPr="00767038">
        <w:rPr>
          <w:rFonts w:cs="Times New Roman"/>
          <w:color w:val="000000"/>
          <w:lang w:val="pl-PL"/>
        </w:rPr>
        <w:t xml:space="preserve">lit. </w:t>
      </w:r>
      <w:r w:rsidR="00F3740C" w:rsidRPr="00767038">
        <w:rPr>
          <w:rFonts w:cs="Times New Roman"/>
          <w:color w:val="000000"/>
          <w:lang w:val="pl-PL"/>
        </w:rPr>
        <w:t>(e)</w:t>
      </w:r>
      <w:r w:rsidRPr="00767038">
        <w:rPr>
          <w:rFonts w:cs="Times New Roman"/>
          <w:color w:val="000000"/>
          <w:lang w:val="pl-PL"/>
        </w:rPr>
        <w:t xml:space="preserve"> </w:t>
      </w:r>
      <w:r w:rsidR="005A62D3" w:rsidRPr="00767038">
        <w:rPr>
          <w:rFonts w:cs="Times New Roman"/>
          <w:color w:val="000000"/>
          <w:lang w:val="pl-PL"/>
        </w:rPr>
        <w:t>Regulacji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9E51F0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Terminy, od których te zmiany mają zastosowanie, a także wpływ tych zmian na prace audytowe</w:t>
      </w:r>
      <w:r w:rsidR="00F3740C" w:rsidRPr="00767038">
        <w:rPr>
          <w:rFonts w:cs="Times New Roman"/>
          <w:color w:val="000000"/>
          <w:lang w:val="pl-PL"/>
        </w:rPr>
        <w:t>.</w:t>
      </w:r>
    </w:p>
    <w:p w:rsidR="00F3740C" w:rsidRPr="00767038" w:rsidRDefault="00FC3819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 </w:t>
      </w:r>
      <w:r w:rsidR="009E51F0" w:rsidRPr="00767038">
        <w:rPr>
          <w:lang w:val="pl-PL"/>
        </w:rPr>
        <w:t>Zmiany strategii audytu</w:t>
      </w:r>
    </w:p>
    <w:p w:rsidR="00F3740C" w:rsidRPr="00767038" w:rsidRDefault="009E51F0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Szczegółowe informacje na temat zmian strategii audytu </w:t>
      </w:r>
      <w:r w:rsidR="00F3740C" w:rsidRPr="00767038">
        <w:rPr>
          <w:rFonts w:cs="Times New Roman"/>
          <w:color w:val="000000"/>
          <w:lang w:val="pl-PL"/>
        </w:rPr>
        <w:t>(</w:t>
      </w:r>
      <w:r w:rsidRPr="00767038">
        <w:rPr>
          <w:rFonts w:cs="Times New Roman"/>
          <w:color w:val="000000"/>
          <w:lang w:val="pl-PL"/>
        </w:rPr>
        <w:t>w porównaniu do poprzedniej wersji) i wyjaśnienie przyczyn zmian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W szczególności wskazanie zmian w metodzie wyboru próby na potrzeby audytów projektów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</w:p>
    <w:p w:rsidR="00F3740C" w:rsidRPr="00767038" w:rsidRDefault="00FC3819" w:rsidP="00C27B08">
      <w:pPr>
        <w:pStyle w:val="Nagwek3"/>
        <w:rPr>
          <w:lang w:val="pl-PL"/>
        </w:rPr>
      </w:pPr>
      <w:bookmarkStart w:id="109" w:name="_Ref462301196"/>
      <w:r w:rsidRPr="00767038">
        <w:rPr>
          <w:lang w:val="pl-PL"/>
        </w:rPr>
        <w:t xml:space="preserve"> </w:t>
      </w:r>
      <w:bookmarkEnd w:id="109"/>
      <w:r w:rsidR="009E51F0" w:rsidRPr="00767038">
        <w:rPr>
          <w:lang w:val="pl-PL"/>
        </w:rPr>
        <w:t>Audyty systemowe</w:t>
      </w:r>
    </w:p>
    <w:p w:rsidR="00F3740C" w:rsidRPr="00767038" w:rsidRDefault="009E51F0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Szczegółowe dane </w:t>
      </w:r>
      <w:r w:rsidR="00137B41" w:rsidRPr="00767038">
        <w:rPr>
          <w:rFonts w:cs="Times New Roman"/>
          <w:color w:val="000000"/>
          <w:lang w:val="pl-PL"/>
        </w:rPr>
        <w:t>podmiotów</w:t>
      </w:r>
      <w:r w:rsidRPr="00767038">
        <w:rPr>
          <w:rFonts w:cs="Times New Roman"/>
          <w:color w:val="000000"/>
          <w:lang w:val="pl-PL"/>
        </w:rPr>
        <w:t xml:space="preserve"> (w tym IA), które przeprowadzały audyty dotyczące poprawnego funkcjonowania systemu zarządzania i kontroli programu lub programów – „audyty systemowe”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 xml:space="preserve">Jeżeli </w:t>
      </w:r>
      <w:r w:rsidR="00137B41" w:rsidRPr="00767038">
        <w:rPr>
          <w:rFonts w:cs="Times New Roman"/>
          <w:color w:val="000000"/>
          <w:lang w:val="pl-PL"/>
        </w:rPr>
        <w:t xml:space="preserve">przeprowadzenie </w:t>
      </w:r>
      <w:r w:rsidRPr="00767038">
        <w:rPr>
          <w:rFonts w:cs="Times New Roman"/>
          <w:color w:val="000000"/>
          <w:lang w:val="pl-PL"/>
        </w:rPr>
        <w:t>częś</w:t>
      </w:r>
      <w:r w:rsidR="00137B41" w:rsidRPr="00767038">
        <w:rPr>
          <w:rFonts w:cs="Times New Roman"/>
          <w:color w:val="000000"/>
          <w:lang w:val="pl-PL"/>
        </w:rPr>
        <w:t>ci</w:t>
      </w:r>
      <w:r w:rsidRPr="00767038">
        <w:rPr>
          <w:rFonts w:cs="Times New Roman"/>
          <w:color w:val="000000"/>
          <w:lang w:val="pl-PL"/>
        </w:rPr>
        <w:t xml:space="preserve"> audytów systemowych </w:t>
      </w:r>
      <w:r w:rsidR="00137B41" w:rsidRPr="00767038">
        <w:rPr>
          <w:rFonts w:cs="Times New Roman"/>
          <w:color w:val="000000"/>
          <w:lang w:val="pl-PL"/>
        </w:rPr>
        <w:t>zlecono</w:t>
      </w:r>
      <w:r w:rsidRPr="00767038">
        <w:rPr>
          <w:rFonts w:cs="Times New Roman"/>
          <w:color w:val="000000"/>
          <w:lang w:val="pl-PL"/>
        </w:rPr>
        <w:t xml:space="preserve"> </w:t>
      </w:r>
      <w:r w:rsidR="00137B41" w:rsidRPr="00767038">
        <w:rPr>
          <w:rFonts w:cs="Times New Roman"/>
          <w:color w:val="000000"/>
          <w:lang w:val="pl-PL"/>
        </w:rPr>
        <w:t xml:space="preserve">podmiotom </w:t>
      </w:r>
      <w:r w:rsidRPr="00767038">
        <w:rPr>
          <w:rFonts w:cs="Times New Roman"/>
          <w:color w:val="000000"/>
          <w:lang w:val="pl-PL"/>
        </w:rPr>
        <w:t xml:space="preserve">zewnętrznym, należy wskazać zadania </w:t>
      </w:r>
      <w:r w:rsidR="00137B41" w:rsidRPr="00767038">
        <w:rPr>
          <w:rFonts w:cs="Times New Roman"/>
          <w:color w:val="000000"/>
          <w:lang w:val="pl-PL"/>
        </w:rPr>
        <w:t>im zlecone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9E51F0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Opis podstawy przeprowadzanych audytów, w tym odniesienie do mającej zastosowanie strategii audytu, w szczególności metodologii oceny ryzyka i </w:t>
      </w:r>
      <w:r w:rsidR="00137B41" w:rsidRPr="00767038">
        <w:rPr>
          <w:rFonts w:cs="Times New Roman"/>
          <w:color w:val="000000"/>
          <w:lang w:val="pl-PL"/>
        </w:rPr>
        <w:t>rezultatów</w:t>
      </w:r>
      <w:r w:rsidRPr="00767038">
        <w:rPr>
          <w:rFonts w:cs="Times New Roman"/>
          <w:color w:val="000000"/>
          <w:lang w:val="pl-PL"/>
        </w:rPr>
        <w:t>, które skutkowały ustaleniem planu audytu na potrzeby audytów systemowych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0033C4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Informacje dotyczące stanu realizacji strategii audytu w odniesieniu do audytów systemowych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Jeżeli strategia audytu nie została (w pełni) zrealizowana, IA powinna wyjaśnić przyczyny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Jeżeli za dany rok finansowy nie przeprowadzano audytów systemowych</w:t>
      </w:r>
      <w:r w:rsidR="00F3740C" w:rsidRPr="00767038">
        <w:rPr>
          <w:rFonts w:cs="Times New Roman"/>
          <w:color w:val="000000"/>
          <w:lang w:val="pl-PL"/>
        </w:rPr>
        <w:t>,</w:t>
      </w:r>
      <w:r w:rsidRPr="00767038">
        <w:rPr>
          <w:rFonts w:cs="Times New Roman"/>
          <w:color w:val="000000"/>
          <w:lang w:val="pl-PL"/>
        </w:rPr>
        <w:t xml:space="preserve"> należy podać odpowiednie uzasadnienie lub informacje na temat zgodności takiego postępowania ze strategią audytu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W każdym przypadku IA powinna przeprowadzić wszystkie prace audytowe, które są niezbędne w celu sporządzenia ważnej opinii z audytu za każdy rok finansowy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0033C4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Opis głównych </w:t>
      </w:r>
      <w:r w:rsidR="00137B41" w:rsidRPr="00767038">
        <w:rPr>
          <w:rFonts w:cs="Times New Roman"/>
          <w:color w:val="000000"/>
          <w:lang w:val="pl-PL"/>
        </w:rPr>
        <w:t>ustaleń,</w:t>
      </w:r>
      <w:r w:rsidRPr="00767038">
        <w:rPr>
          <w:rFonts w:cs="Times New Roman"/>
          <w:color w:val="000000"/>
          <w:lang w:val="pl-PL"/>
        </w:rPr>
        <w:t xml:space="preserve"> </w:t>
      </w:r>
      <w:r w:rsidR="00137B41" w:rsidRPr="00767038">
        <w:rPr>
          <w:rFonts w:cs="Times New Roman"/>
          <w:color w:val="000000"/>
          <w:lang w:val="pl-PL"/>
        </w:rPr>
        <w:t xml:space="preserve">w podziale </w:t>
      </w:r>
      <w:r w:rsidR="00A35E94" w:rsidRPr="00767038">
        <w:rPr>
          <w:rFonts w:cs="Times New Roman"/>
          <w:color w:val="000000"/>
          <w:lang w:val="pl-PL"/>
        </w:rPr>
        <w:t>na programy</w:t>
      </w:r>
      <w:r w:rsidRPr="00767038">
        <w:rPr>
          <w:rFonts w:cs="Times New Roman"/>
          <w:color w:val="000000"/>
          <w:lang w:val="pl-PL"/>
        </w:rPr>
        <w:t xml:space="preserve">, </w:t>
      </w:r>
      <w:r w:rsidR="00137B41" w:rsidRPr="00767038">
        <w:rPr>
          <w:rFonts w:cs="Times New Roman"/>
          <w:color w:val="000000"/>
          <w:lang w:val="pl-PL"/>
        </w:rPr>
        <w:t>oraz</w:t>
      </w:r>
      <w:r w:rsidRPr="00767038">
        <w:rPr>
          <w:rFonts w:cs="Times New Roman"/>
          <w:color w:val="000000"/>
          <w:lang w:val="pl-PL"/>
        </w:rPr>
        <w:t xml:space="preserve"> wniosk</w:t>
      </w:r>
      <w:r w:rsidR="00137B41" w:rsidRPr="00767038">
        <w:rPr>
          <w:rFonts w:cs="Times New Roman"/>
          <w:color w:val="000000"/>
          <w:lang w:val="pl-PL"/>
        </w:rPr>
        <w:t>ów</w:t>
      </w:r>
      <w:r w:rsidRPr="00767038">
        <w:rPr>
          <w:rFonts w:cs="Times New Roman"/>
          <w:color w:val="000000"/>
          <w:lang w:val="pl-PL"/>
        </w:rPr>
        <w:t xml:space="preserve"> z audytów systemowych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 xml:space="preserve">Należy jednoznacznie wskazać </w:t>
      </w:r>
      <w:r w:rsidR="00137B41" w:rsidRPr="00767038">
        <w:rPr>
          <w:rFonts w:cs="Times New Roman"/>
          <w:color w:val="000000"/>
          <w:lang w:val="pl-PL"/>
        </w:rPr>
        <w:t>podmioty</w:t>
      </w:r>
      <w:r w:rsidRPr="00767038">
        <w:rPr>
          <w:rFonts w:cs="Times New Roman"/>
          <w:color w:val="000000"/>
          <w:lang w:val="pl-PL"/>
        </w:rPr>
        <w:t>, których dotyczą wnioski z audytów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FF2EE6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Określenie, czy stwierdzone problemy uznano za problemy o charakterze systemowym, a także określenie podjętych </w:t>
      </w:r>
      <w:r w:rsidR="00137B41" w:rsidRPr="00767038">
        <w:rPr>
          <w:rFonts w:cs="Times New Roman"/>
          <w:color w:val="000000"/>
          <w:lang w:val="pl-PL"/>
        </w:rPr>
        <w:t>działań</w:t>
      </w:r>
      <w:r w:rsidRPr="00767038">
        <w:rPr>
          <w:rFonts w:cs="Times New Roman"/>
          <w:color w:val="000000"/>
          <w:lang w:val="pl-PL"/>
        </w:rPr>
        <w:t>, w tym kwantyfikacji nieprawidłowych wydatków i związanych z nimi korekt finansowych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W przypadku niestwierdzenia problemów o charakterze systemowym, fakt ten należy wskazać w raporcie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C13F41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Informacje na temat stanu realizacji planów działań po audytach systemowych IA w rok</w:t>
      </w:r>
      <w:r w:rsidR="00137B41" w:rsidRPr="00767038">
        <w:rPr>
          <w:rFonts w:cs="Times New Roman"/>
          <w:color w:val="000000"/>
          <w:lang w:val="pl-PL"/>
        </w:rPr>
        <w:t>u</w:t>
      </w:r>
      <w:r w:rsidRPr="00767038">
        <w:rPr>
          <w:rFonts w:cs="Times New Roman"/>
          <w:color w:val="000000"/>
          <w:lang w:val="pl-PL"/>
        </w:rPr>
        <w:t xml:space="preserve"> finansowym, którego dotyczy raport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="008F58D3" w:rsidRPr="00767038">
        <w:rPr>
          <w:rFonts w:cs="Times New Roman"/>
          <w:color w:val="000000"/>
          <w:lang w:val="pl-PL"/>
        </w:rPr>
        <w:t>Należy określić wpływ finansowy, a także wpływ korekt</w:t>
      </w:r>
      <w:r w:rsidR="00F3740C" w:rsidRPr="00767038">
        <w:rPr>
          <w:rFonts w:cs="Times New Roman"/>
          <w:color w:val="000000"/>
          <w:lang w:val="pl-PL"/>
        </w:rPr>
        <w:t>.</w:t>
      </w:r>
      <w:r w:rsidR="008F58D3" w:rsidRPr="00767038">
        <w:rPr>
          <w:rFonts w:cs="Times New Roman"/>
          <w:color w:val="000000"/>
          <w:lang w:val="pl-PL"/>
        </w:rPr>
        <w:t xml:space="preserve"> Należy określić FRO, w których poniesione wydatki kwalifikowalne </w:t>
      </w:r>
      <w:r w:rsidR="004D3637" w:rsidRPr="00767038">
        <w:rPr>
          <w:rFonts w:cs="Times New Roman"/>
          <w:color w:val="000000"/>
          <w:lang w:val="pl-PL"/>
        </w:rPr>
        <w:t>pomniejszono</w:t>
      </w:r>
      <w:r w:rsidR="008F58D3" w:rsidRPr="00767038">
        <w:rPr>
          <w:rFonts w:cs="Times New Roman"/>
          <w:color w:val="000000"/>
          <w:lang w:val="pl-PL"/>
        </w:rPr>
        <w:t xml:space="preserve"> o korekty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8F58D3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lastRenderedPageBreak/>
        <w:t>Informacje na temat działań sprawdzających wdrożenie zaleceń z audytów systemowych za poprzednie lata finansowe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 xml:space="preserve">W przypadku korekt finansowych należy wskazać FRO, w którym poniesione wydatki kwalifikowalne </w:t>
      </w:r>
      <w:r w:rsidR="004D3637" w:rsidRPr="00767038">
        <w:rPr>
          <w:rFonts w:cs="Times New Roman"/>
          <w:color w:val="000000"/>
          <w:lang w:val="pl-PL"/>
        </w:rPr>
        <w:t>pomniejszono</w:t>
      </w:r>
      <w:r w:rsidRPr="00767038">
        <w:rPr>
          <w:rFonts w:cs="Times New Roman"/>
          <w:color w:val="000000"/>
          <w:lang w:val="pl-PL"/>
        </w:rPr>
        <w:t xml:space="preserve"> o korekty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4D3637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Poziom pewności uzyskanej z audytów systemowych (niski/średni/wysoki) wraz z uzasadnieniem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Powyższe odnosi się do stopnia pewności, który można przypisać </w:t>
      </w:r>
      <w:r w:rsidR="0028619D" w:rsidRPr="00767038">
        <w:rPr>
          <w:rFonts w:cs="Times New Roman"/>
          <w:color w:val="000000"/>
          <w:lang w:val="pl-PL"/>
        </w:rPr>
        <w:t>systemowi zarządzania i kontroli</w:t>
      </w:r>
      <w:r w:rsidR="00F3740C" w:rsidRPr="00767038">
        <w:rPr>
          <w:rFonts w:cs="Times New Roman"/>
          <w:color w:val="000000"/>
          <w:lang w:val="pl-PL"/>
        </w:rPr>
        <w:t>,</w:t>
      </w:r>
      <w:r w:rsidRPr="00767038">
        <w:rPr>
          <w:rFonts w:cs="Times New Roman"/>
          <w:color w:val="000000"/>
          <w:lang w:val="pl-PL"/>
        </w:rPr>
        <w:t xml:space="preserve"> jeżeli chodzi o zapewnienie legalności i prawidłowości wydatków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Ocena IA jest oparta na wynikach wszystkich audytów systemowych związanych z rokiem finansowym i, jeżeli jest to odpowiednie, poprzednimi latami finansowymi, a także odpowiednich wnioskach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</w:p>
    <w:p w:rsidR="00F3740C" w:rsidRPr="00767038" w:rsidRDefault="00FC3819" w:rsidP="00C27B08">
      <w:pPr>
        <w:pStyle w:val="Nagwek3"/>
        <w:rPr>
          <w:lang w:val="pl-PL"/>
        </w:rPr>
      </w:pPr>
      <w:bookmarkStart w:id="110" w:name="_Ref462301233"/>
      <w:r w:rsidRPr="00767038">
        <w:rPr>
          <w:lang w:val="pl-PL"/>
        </w:rPr>
        <w:t xml:space="preserve"> </w:t>
      </w:r>
      <w:bookmarkEnd w:id="110"/>
      <w:r w:rsidR="004D3637" w:rsidRPr="00767038">
        <w:rPr>
          <w:lang w:val="pl-PL"/>
        </w:rPr>
        <w:t>Audyty projektów</w:t>
      </w:r>
    </w:p>
    <w:p w:rsidR="00F3740C" w:rsidRPr="00767038" w:rsidRDefault="004D3637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Szczegółowe dane organów </w:t>
      </w:r>
      <w:r w:rsidR="00F3740C" w:rsidRPr="00767038">
        <w:rPr>
          <w:rFonts w:cs="Times New Roman"/>
          <w:color w:val="000000"/>
          <w:lang w:val="pl-PL"/>
        </w:rPr>
        <w:t>(</w:t>
      </w:r>
      <w:r w:rsidRPr="00767038">
        <w:rPr>
          <w:rFonts w:cs="Times New Roman"/>
          <w:color w:val="000000"/>
          <w:lang w:val="pl-PL"/>
        </w:rPr>
        <w:t>w tym IA), które przeprowadzały audyty projektów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Jeżeli część audytów </w:t>
      </w:r>
      <w:r w:rsidR="0028619D" w:rsidRPr="00767038">
        <w:rPr>
          <w:rFonts w:cs="Times New Roman"/>
          <w:color w:val="000000"/>
          <w:lang w:val="pl-PL"/>
        </w:rPr>
        <w:t>zlecono podmiotom</w:t>
      </w:r>
      <w:r w:rsidRPr="00767038">
        <w:rPr>
          <w:rFonts w:cs="Times New Roman"/>
          <w:color w:val="000000"/>
          <w:lang w:val="pl-PL"/>
        </w:rPr>
        <w:t xml:space="preserve"> zewnętrznym</w:t>
      </w:r>
      <w:r w:rsidR="00F3740C" w:rsidRPr="00767038">
        <w:rPr>
          <w:rFonts w:cs="Times New Roman"/>
          <w:color w:val="000000"/>
          <w:lang w:val="pl-PL"/>
        </w:rPr>
        <w:t>,</w:t>
      </w:r>
      <w:r w:rsidRPr="00767038">
        <w:rPr>
          <w:rFonts w:cs="Times New Roman"/>
          <w:color w:val="000000"/>
          <w:lang w:val="pl-PL"/>
        </w:rPr>
        <w:t xml:space="preserve"> należy określić zadania przekazane wykonawcy lub wykonawcom zewnętrznym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 xml:space="preserve">Oczekuje się, że IA wyjaśni środki podjęte w celu nadzorowania prac organów, które przeprowadzały audyty projektów w jej imieniu (delegowane lub </w:t>
      </w:r>
      <w:r w:rsidR="0028619D" w:rsidRPr="00767038">
        <w:rPr>
          <w:rFonts w:cs="Times New Roman"/>
          <w:color w:val="000000"/>
          <w:lang w:val="pl-PL"/>
        </w:rPr>
        <w:t xml:space="preserve">zlecone </w:t>
      </w:r>
      <w:r w:rsidRPr="00767038">
        <w:rPr>
          <w:rFonts w:cs="Times New Roman"/>
          <w:color w:val="000000"/>
          <w:lang w:val="pl-PL"/>
        </w:rPr>
        <w:t>na zewnątrz</w:t>
      </w:r>
      <w:r w:rsidR="00F3740C" w:rsidRPr="00767038">
        <w:rPr>
          <w:rFonts w:cs="Times New Roman"/>
          <w:color w:val="000000"/>
          <w:lang w:val="pl-PL"/>
        </w:rPr>
        <w:t>).</w:t>
      </w:r>
      <w:r w:rsidRPr="00767038">
        <w:rPr>
          <w:rFonts w:cs="Times New Roman"/>
          <w:color w:val="000000"/>
          <w:lang w:val="pl-PL"/>
        </w:rPr>
        <w:t xml:space="preserve"> IA powinna potwierdzić, że można polegać na pracach wykonanych przez takie </w:t>
      </w:r>
      <w:r w:rsidR="0028619D" w:rsidRPr="00767038">
        <w:rPr>
          <w:rFonts w:cs="Times New Roman"/>
          <w:color w:val="000000"/>
          <w:lang w:val="pl-PL"/>
        </w:rPr>
        <w:t xml:space="preserve">podmioty </w:t>
      </w:r>
      <w:r w:rsidRPr="00767038">
        <w:rPr>
          <w:rFonts w:cs="Times New Roman"/>
          <w:color w:val="000000"/>
          <w:lang w:val="pl-PL"/>
        </w:rPr>
        <w:t xml:space="preserve">na potrzeby przygotowania </w:t>
      </w:r>
      <w:r w:rsidR="0028619D" w:rsidRPr="00767038">
        <w:rPr>
          <w:rFonts w:cs="Times New Roman"/>
          <w:color w:val="000000"/>
          <w:lang w:val="pl-PL"/>
        </w:rPr>
        <w:t>Rocznego raportu z audytu</w:t>
      </w:r>
      <w:r w:rsidRPr="00767038">
        <w:rPr>
          <w:rFonts w:cs="Times New Roman"/>
          <w:color w:val="000000"/>
          <w:lang w:val="pl-PL"/>
        </w:rPr>
        <w:t xml:space="preserve"> i sporządzenia ważnej opinii z audytu IA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4D3637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Opis stosowanej </w:t>
      </w:r>
      <w:r w:rsidR="00B665F6" w:rsidRPr="00767038">
        <w:rPr>
          <w:rFonts w:cs="Times New Roman"/>
          <w:color w:val="000000"/>
          <w:lang w:val="pl-PL"/>
        </w:rPr>
        <w:t>metodologii wyboru próby i potwierdzenie, czy metodologia jest zgodna ze strategią audytu</w:t>
      </w:r>
      <w:r w:rsidR="00F3740C" w:rsidRPr="00767038">
        <w:rPr>
          <w:rFonts w:cs="Times New Roman"/>
          <w:color w:val="000000"/>
          <w:lang w:val="pl-PL"/>
        </w:rPr>
        <w:t>.</w:t>
      </w:r>
      <w:r w:rsidR="00B665F6" w:rsidRPr="00767038">
        <w:rPr>
          <w:rFonts w:cs="Times New Roman"/>
          <w:color w:val="000000"/>
          <w:lang w:val="pl-PL"/>
        </w:rPr>
        <w:t xml:space="preserve"> Należy zapewnić ścieżkę audytu na potrzeby wyboru próby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B665F6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Wskazanie parametrów wykorzystywanych na potrzeby próbkowania statystycznego oraz wyjaśnienie podstawowych kalkulacji i stosowanego profesjonalnego osądu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Parametry próbkowania obejmują: poziom istotności, poziom pewności (zaleca się, aby dla systemu, który uznaje się za system o wysokim poziomie wiarygodności, poziom pewności na potrzeby wyboru projektów nie był niższy niż</w:t>
      </w:r>
      <w:r w:rsidR="00F3740C" w:rsidRPr="00767038">
        <w:rPr>
          <w:rFonts w:cs="Times New Roman"/>
          <w:color w:val="000000"/>
          <w:lang w:val="pl-PL"/>
        </w:rPr>
        <w:t xml:space="preserve"> 60%; </w:t>
      </w:r>
      <w:r w:rsidR="00F86A0B" w:rsidRPr="00767038">
        <w:rPr>
          <w:rFonts w:cs="Times New Roman"/>
          <w:color w:val="000000"/>
          <w:lang w:val="pl-PL"/>
        </w:rPr>
        <w:t>w przypadku systemu, który uznaje się za system o niskim poziomie wiarygodności, poziom pewności na potrzeby wyboru projektów nie powinien być niższy niż</w:t>
      </w:r>
      <w:r w:rsidR="00F3740C" w:rsidRPr="00767038">
        <w:rPr>
          <w:rFonts w:cs="Times New Roman"/>
          <w:color w:val="000000"/>
          <w:lang w:val="pl-PL"/>
        </w:rPr>
        <w:t xml:space="preserve"> 90%), </w:t>
      </w:r>
      <w:r w:rsidR="00F86A0B" w:rsidRPr="00767038">
        <w:rPr>
          <w:lang w:val="pl-PL"/>
        </w:rPr>
        <w:t xml:space="preserve">jednostkę wyboru próby </w:t>
      </w:r>
      <w:r w:rsidR="00F3740C" w:rsidRPr="00767038">
        <w:rPr>
          <w:rFonts w:cs="Times New Roman"/>
          <w:color w:val="000000"/>
          <w:lang w:val="pl-PL"/>
        </w:rPr>
        <w:t>(</w:t>
      </w:r>
      <w:r w:rsidR="00F86A0B" w:rsidRPr="00767038">
        <w:rPr>
          <w:rFonts w:cs="Times New Roman"/>
          <w:color w:val="000000"/>
          <w:lang w:val="pl-PL"/>
        </w:rPr>
        <w:t>tj</w:t>
      </w:r>
      <w:r w:rsidR="00F3740C" w:rsidRPr="00767038">
        <w:rPr>
          <w:rFonts w:cs="Times New Roman"/>
          <w:color w:val="000000"/>
          <w:lang w:val="pl-PL"/>
        </w:rPr>
        <w:t>. proje</w:t>
      </w:r>
      <w:r w:rsidR="00F86A0B" w:rsidRPr="00767038">
        <w:rPr>
          <w:rFonts w:cs="Times New Roman"/>
          <w:color w:val="000000"/>
          <w:lang w:val="pl-PL"/>
        </w:rPr>
        <w:t>k</w:t>
      </w:r>
      <w:r w:rsidR="00F3740C" w:rsidRPr="00767038">
        <w:rPr>
          <w:rFonts w:cs="Times New Roman"/>
          <w:color w:val="000000"/>
          <w:lang w:val="pl-PL"/>
        </w:rPr>
        <w:t xml:space="preserve">t </w:t>
      </w:r>
      <w:r w:rsidR="00F86A0B" w:rsidRPr="00767038">
        <w:rPr>
          <w:rFonts w:cs="Times New Roman"/>
          <w:color w:val="000000"/>
          <w:lang w:val="pl-PL"/>
        </w:rPr>
        <w:t xml:space="preserve">lub raport finansowy </w:t>
      </w:r>
      <w:r w:rsidR="00AC25C8" w:rsidRPr="00767038">
        <w:rPr>
          <w:rFonts w:cs="Times New Roman"/>
          <w:color w:val="000000"/>
          <w:lang w:val="pl-PL"/>
        </w:rPr>
        <w:t>beneficjenta</w:t>
      </w:r>
      <w:r w:rsidR="00F3740C" w:rsidRPr="00767038">
        <w:rPr>
          <w:rFonts w:cs="Times New Roman"/>
          <w:color w:val="000000"/>
          <w:lang w:val="pl-PL"/>
        </w:rPr>
        <w:t xml:space="preserve">), </w:t>
      </w:r>
      <w:r w:rsidR="00F86A0B" w:rsidRPr="00767038">
        <w:rPr>
          <w:rFonts w:cs="Times New Roman"/>
          <w:color w:val="000000"/>
          <w:lang w:val="pl-PL"/>
        </w:rPr>
        <w:t>oczekiwany poziom błędu</w:t>
      </w:r>
      <w:r w:rsidR="00F3740C" w:rsidRPr="00767038">
        <w:rPr>
          <w:rFonts w:cs="Times New Roman"/>
          <w:color w:val="000000"/>
          <w:lang w:val="pl-PL"/>
        </w:rPr>
        <w:t xml:space="preserve">, </w:t>
      </w:r>
      <w:r w:rsidR="00F86A0B" w:rsidRPr="00767038">
        <w:rPr>
          <w:rFonts w:cs="Times New Roman"/>
          <w:color w:val="000000"/>
          <w:lang w:val="pl-PL"/>
        </w:rPr>
        <w:t>interwał przyjęty dla próby</w:t>
      </w:r>
      <w:r w:rsidR="00F3740C" w:rsidRPr="00767038">
        <w:rPr>
          <w:rFonts w:cs="Times New Roman"/>
          <w:color w:val="000000"/>
          <w:lang w:val="pl-PL"/>
        </w:rPr>
        <w:t xml:space="preserve">, </w:t>
      </w:r>
      <w:r w:rsidR="00F86A0B" w:rsidRPr="00767038">
        <w:rPr>
          <w:rFonts w:cs="Times New Roman"/>
          <w:color w:val="000000"/>
          <w:lang w:val="pl-PL"/>
        </w:rPr>
        <w:t xml:space="preserve">wartości populacji, wielkość populacji, wielkość próby, informacje na temat stratyfikacji (jeżeli </w:t>
      </w:r>
      <w:r w:rsidR="0028619D" w:rsidRPr="00767038">
        <w:rPr>
          <w:rFonts w:cs="Times New Roman"/>
          <w:color w:val="000000"/>
          <w:lang w:val="pl-PL"/>
        </w:rPr>
        <w:t>dotyczy</w:t>
      </w:r>
      <w:r w:rsidR="00F3740C" w:rsidRPr="00767038">
        <w:rPr>
          <w:rFonts w:cs="Times New Roman"/>
          <w:color w:val="000000"/>
          <w:lang w:val="pl-PL"/>
        </w:rPr>
        <w:t>);</w:t>
      </w:r>
    </w:p>
    <w:p w:rsidR="00F3740C" w:rsidRPr="00767038" w:rsidRDefault="00F86A0B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W przypadku próbkowania innego niż statystyczne wskazać przyczyny stosowania tej metody zgodnie z art. </w:t>
      </w:r>
      <w:r w:rsidR="00F3740C" w:rsidRPr="00767038">
        <w:rPr>
          <w:rFonts w:cs="Times New Roman"/>
          <w:color w:val="000000"/>
          <w:lang w:val="pl-PL"/>
        </w:rPr>
        <w:t>5.5.4</w:t>
      </w:r>
      <w:r w:rsidRPr="00767038">
        <w:rPr>
          <w:rFonts w:cs="Times New Roman"/>
          <w:color w:val="000000"/>
          <w:lang w:val="pl-PL"/>
        </w:rPr>
        <w:t xml:space="preserve"> </w:t>
      </w:r>
      <w:r w:rsidR="005A62D3" w:rsidRPr="00767038">
        <w:rPr>
          <w:rFonts w:cs="Times New Roman"/>
          <w:color w:val="000000"/>
          <w:lang w:val="pl-PL"/>
        </w:rPr>
        <w:t>Regulacji</w:t>
      </w:r>
      <w:r w:rsidR="00F3740C" w:rsidRPr="00767038">
        <w:rPr>
          <w:rFonts w:cs="Times New Roman"/>
          <w:color w:val="000000"/>
          <w:lang w:val="pl-PL"/>
        </w:rPr>
        <w:t>,</w:t>
      </w:r>
      <w:r w:rsidRPr="00767038">
        <w:rPr>
          <w:rFonts w:cs="Times New Roman"/>
          <w:color w:val="000000"/>
          <w:lang w:val="pl-PL"/>
        </w:rPr>
        <w:t xml:space="preserve"> procent wydatków objętych audytami, kroki podjęte w celu zapewnienia losowości próby i zapewnienia wystarczającej wielkości próby na potrzeby przygotowania przez IA ważnej opinii z audytu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W przypadku próbkowania innego niż statystyczne</w:t>
      </w:r>
      <w:r w:rsidR="0028619D" w:rsidRPr="00767038">
        <w:rPr>
          <w:rFonts w:cs="Times New Roman"/>
          <w:color w:val="000000"/>
          <w:lang w:val="pl-PL"/>
        </w:rPr>
        <w:t>,</w:t>
      </w:r>
      <w:r w:rsidRPr="00767038">
        <w:rPr>
          <w:rFonts w:cs="Times New Roman"/>
          <w:color w:val="000000"/>
          <w:lang w:val="pl-PL"/>
        </w:rPr>
        <w:t xml:space="preserve"> IA powinna opisać uzasadnienie wyboru próby</w:t>
      </w:r>
      <w:r w:rsidR="00F3740C" w:rsidRPr="00767038">
        <w:rPr>
          <w:rFonts w:cs="Times New Roman"/>
          <w:color w:val="000000"/>
          <w:lang w:val="pl-PL"/>
        </w:rPr>
        <w:t>,</w:t>
      </w:r>
      <w:r w:rsidRPr="00767038">
        <w:rPr>
          <w:rFonts w:cs="Times New Roman"/>
          <w:color w:val="000000"/>
          <w:lang w:val="pl-PL"/>
        </w:rPr>
        <w:t xml:space="preserve"> odnosząc się do profesjonalnego osądu, wymagań regulacyjnych i odpowiednich standardów rewizji finansowej przyjętych w skali międzynarodowej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IA powinna w szczególności wyjaśnić, dlaczego uważa, że może przygotować ważną opinię z audytu na podstawie próby wybranej z populacji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F86A0B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Analiza głównych wyników audytów projektów wraz z opisem liczby pozycji z próby, które zostały zbadane, odpowiednia kwota i rodzaj błędów według rodzaju projektów, charakter stwierdzonych błędów, poziom błędu w warstwie i odpowiednie główne niedoskonałości lub nieprawidłowości, pierwotne przyczyny, proponowane środki korygujące</w:t>
      </w:r>
      <w:r w:rsidR="00F3740C" w:rsidRPr="00767038">
        <w:rPr>
          <w:rFonts w:cs="Times New Roman"/>
          <w:color w:val="000000"/>
          <w:lang w:val="pl-PL"/>
        </w:rPr>
        <w:t xml:space="preserve"> (</w:t>
      </w:r>
      <w:r w:rsidRPr="00767038">
        <w:rPr>
          <w:rFonts w:cs="Times New Roman"/>
          <w:color w:val="000000"/>
          <w:lang w:val="pl-PL"/>
        </w:rPr>
        <w:t>w tym te, których celem jest uniknięcie takich błędów w kolejnych wnioskach o płatnoś</w:t>
      </w:r>
      <w:r w:rsidR="00924818">
        <w:rPr>
          <w:rFonts w:cs="Times New Roman"/>
          <w:color w:val="000000"/>
          <w:lang w:val="pl-PL"/>
        </w:rPr>
        <w:t>ć</w:t>
      </w:r>
      <w:r w:rsidRPr="00767038">
        <w:rPr>
          <w:rFonts w:cs="Times New Roman"/>
          <w:color w:val="000000"/>
          <w:lang w:val="pl-PL"/>
        </w:rPr>
        <w:t>) i wpływ na opinię z audytu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 xml:space="preserve">Zgłaszane błędy powinny być związane w wnioskami przedstawionymi w końcowym raporcie z audytu, tj. po </w:t>
      </w:r>
      <w:r w:rsidR="0092539D" w:rsidRPr="00767038">
        <w:rPr>
          <w:rFonts w:cs="Times New Roman"/>
          <w:color w:val="000000"/>
          <w:lang w:val="pl-PL"/>
        </w:rPr>
        <w:t xml:space="preserve">uzgodnieniu procedury </w:t>
      </w:r>
      <w:r w:rsidR="0092539D" w:rsidRPr="00767038">
        <w:rPr>
          <w:lang w:val="pl-PL"/>
        </w:rPr>
        <w:t>kontradyktoryjnej z podmiotem podlegającym audytowi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="0092539D" w:rsidRPr="00767038">
        <w:rPr>
          <w:rFonts w:cs="Times New Roman"/>
          <w:color w:val="000000"/>
          <w:lang w:val="pl-PL"/>
        </w:rPr>
        <w:t xml:space="preserve">W </w:t>
      </w:r>
      <w:r w:rsidR="0092539D" w:rsidRPr="00767038">
        <w:rPr>
          <w:rFonts w:cs="Times New Roman"/>
          <w:color w:val="000000"/>
          <w:lang w:val="pl-PL"/>
        </w:rPr>
        <w:lastRenderedPageBreak/>
        <w:t xml:space="preserve">rzetelnie uzasadnionych przypadkach, w których nie </w:t>
      </w:r>
      <w:r w:rsidR="00687165" w:rsidRPr="00767038">
        <w:rPr>
          <w:rFonts w:cs="Times New Roman"/>
          <w:color w:val="000000"/>
          <w:lang w:val="pl-PL"/>
        </w:rPr>
        <w:t xml:space="preserve">przeprowadzono </w:t>
      </w:r>
      <w:r w:rsidR="0092539D" w:rsidRPr="00767038">
        <w:rPr>
          <w:rFonts w:cs="Times New Roman"/>
          <w:color w:val="000000"/>
          <w:lang w:val="pl-PL"/>
        </w:rPr>
        <w:t xml:space="preserve">takiej procedury </w:t>
      </w:r>
      <w:r w:rsidR="0092539D" w:rsidRPr="00767038">
        <w:rPr>
          <w:lang w:val="pl-PL"/>
        </w:rPr>
        <w:t xml:space="preserve">kontradyktoryjnej przed przesłaniem raportu rocznego z audytu, </w:t>
      </w:r>
      <w:r w:rsidR="0092539D" w:rsidRPr="00767038">
        <w:rPr>
          <w:rFonts w:cs="Times New Roman"/>
          <w:color w:val="000000"/>
          <w:lang w:val="pl-PL"/>
        </w:rPr>
        <w:t>stanowi to ograniczenie zakresu audytu</w:t>
      </w:r>
      <w:r w:rsidR="00F3740C" w:rsidRPr="00767038">
        <w:rPr>
          <w:rFonts w:cs="Times New Roman"/>
          <w:color w:val="000000"/>
          <w:lang w:val="pl-PL"/>
        </w:rPr>
        <w:t>.</w:t>
      </w:r>
      <w:r w:rsidR="0092539D" w:rsidRPr="00767038">
        <w:rPr>
          <w:rFonts w:cs="Times New Roman"/>
          <w:color w:val="000000"/>
          <w:lang w:val="pl-PL"/>
        </w:rPr>
        <w:t xml:space="preserve"> Kwantyfikację zastrzeżenia w opinii z audytu można wyliczyć w oparciu o maksymalną kwotę błędu, którą IA uznaje za racjonalną na podstawie informacji dostępnych </w:t>
      </w:r>
      <w:r w:rsidR="00687165" w:rsidRPr="00767038">
        <w:rPr>
          <w:rFonts w:cs="Times New Roman"/>
          <w:color w:val="000000"/>
          <w:lang w:val="pl-PL"/>
        </w:rPr>
        <w:t>w czasie</w:t>
      </w:r>
      <w:r w:rsidR="0092539D" w:rsidRPr="00767038">
        <w:rPr>
          <w:rFonts w:cs="Times New Roman"/>
          <w:color w:val="000000"/>
          <w:lang w:val="pl-PL"/>
        </w:rPr>
        <w:t xml:space="preserve"> wyrażenia opinii z audytu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92539D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Porównanie całkowitego poziomu błędu i całkowitego poziomu błędu rezydualnego z ustalonym poziomem istotności w celu sprawdzenia, czy populacj</w:t>
      </w:r>
      <w:r w:rsidR="006651D8">
        <w:rPr>
          <w:rFonts w:cs="Times New Roman"/>
          <w:color w:val="000000"/>
          <w:lang w:val="pl-PL"/>
        </w:rPr>
        <w:t>a</w:t>
      </w:r>
      <w:r w:rsidRPr="00767038">
        <w:rPr>
          <w:rFonts w:cs="Times New Roman"/>
          <w:color w:val="000000"/>
          <w:lang w:val="pl-PL"/>
        </w:rPr>
        <w:t xml:space="preserve"> jest istotnie zniekształcona, i wpływu na opinię z audytu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W oparciu o wyniki audytów projektów na potrzeby przygotowania opinii z audytu i raportu rocznego z audytu IA wylicza całkowity poziom błędu (CPB), który stanowi sumę prognozowanych błędów losowych i, jeżeli jest to odpowiednie, błędów systemowych i nieskorygowanych błędów anormalnych podzieloną przez populację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CPB</w:t>
      </w:r>
      <w:r w:rsidR="00885DF7" w:rsidRPr="00767038">
        <w:rPr>
          <w:rFonts w:cs="Times New Roman"/>
          <w:color w:val="000000"/>
          <w:lang w:val="pl-PL"/>
        </w:rPr>
        <w:t xml:space="preserve"> należy następnie porównać z poziomem istotności, tj</w:t>
      </w:r>
      <w:r w:rsidR="00F3740C" w:rsidRPr="00767038">
        <w:rPr>
          <w:rFonts w:cs="Times New Roman"/>
          <w:color w:val="000000"/>
          <w:lang w:val="pl-PL"/>
        </w:rPr>
        <w:t>.</w:t>
      </w:r>
      <w:r w:rsidR="00885DF7" w:rsidRPr="00767038">
        <w:rPr>
          <w:rFonts w:cs="Times New Roman"/>
          <w:color w:val="000000"/>
          <w:lang w:val="pl-PL"/>
        </w:rPr>
        <w:t xml:space="preserve"> maksymalnie 2% wydatków uwzględnionych w populacji</w:t>
      </w:r>
      <w:r w:rsidR="00F3740C" w:rsidRPr="00767038">
        <w:rPr>
          <w:rFonts w:cs="Times New Roman"/>
          <w:color w:val="000000"/>
          <w:lang w:val="pl-PL"/>
        </w:rPr>
        <w:t>.</w:t>
      </w:r>
      <w:r w:rsidR="00885DF7" w:rsidRPr="00767038">
        <w:rPr>
          <w:rFonts w:cs="Times New Roman"/>
          <w:color w:val="000000"/>
          <w:lang w:val="pl-PL"/>
        </w:rPr>
        <w:t xml:space="preserve"> Jeżeli przed ukończeniem raportu rocznego z audytu podjęto środki korygujące, IA powinna także wyliczyć poziom całkowity poziom błędu rezydualnego</w:t>
      </w:r>
      <w:r w:rsidR="00F3740C" w:rsidRPr="00767038">
        <w:rPr>
          <w:rFonts w:cs="Times New Roman"/>
          <w:color w:val="000000"/>
          <w:lang w:val="pl-PL"/>
        </w:rPr>
        <w:t xml:space="preserve">, </w:t>
      </w:r>
      <w:r w:rsidR="00885DF7" w:rsidRPr="00767038">
        <w:rPr>
          <w:rFonts w:cs="Times New Roman"/>
          <w:color w:val="000000"/>
          <w:lang w:val="pl-PL"/>
        </w:rPr>
        <w:t>tj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="00885DF7" w:rsidRPr="00767038">
        <w:rPr>
          <w:rFonts w:cs="Times New Roman"/>
          <w:color w:val="000000"/>
          <w:lang w:val="pl-PL"/>
        </w:rPr>
        <w:t>całkowity poziom błędu pomniejszony o korekty finansowe wprowadzone w wyniku audytu projektów IA. Całkowity poziom błędu rezydualnego należy następnie porównać z poziomem istotności</w:t>
      </w:r>
      <w:r w:rsidR="00F3740C" w:rsidRPr="00767038">
        <w:rPr>
          <w:rFonts w:cs="Times New Roman"/>
          <w:color w:val="000000"/>
          <w:lang w:val="pl-PL"/>
        </w:rPr>
        <w:t>.</w:t>
      </w:r>
      <w:r w:rsidR="00885DF7" w:rsidRPr="00767038">
        <w:rPr>
          <w:rFonts w:cs="Times New Roman"/>
          <w:color w:val="000000"/>
          <w:lang w:val="pl-PL"/>
        </w:rPr>
        <w:t xml:space="preserve"> Błędów stwierdzonych w trakcie audytów systemowych (przeprowadzania testów kontroli) nie dodaje się do całkowitego błędu, lecz należy je skorygować i ujawnić w sekcji 4 „Audyty systemowe” raportu rocznego z audytu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885DF7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Szczegółowe informacje o tym, czy stwierdzone problemy uznano za problemy o charakterze systemowym, i o podjętych środkach, w tym kwantyfikacji nieprawidłowych wydatków i związanych z nimi korektach finansowych</w:t>
      </w:r>
      <w:r w:rsidR="00F3740C" w:rsidRPr="00767038">
        <w:rPr>
          <w:rFonts w:cs="Times New Roman"/>
          <w:color w:val="000000"/>
          <w:lang w:val="pl-PL"/>
        </w:rPr>
        <w:t>;</w:t>
      </w:r>
    </w:p>
    <w:p w:rsidR="00F3740C" w:rsidRPr="00767038" w:rsidRDefault="00F3740C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I</w:t>
      </w:r>
      <w:r w:rsidR="00885DF7" w:rsidRPr="00767038">
        <w:rPr>
          <w:rFonts w:cs="Times New Roman"/>
          <w:color w:val="000000"/>
          <w:lang w:val="pl-PL"/>
        </w:rPr>
        <w:t>nformacje na temat działań sprawdzających po audytach projektów, które przeprowadzano w poprzednich latach, w szczególności na temat niedoskonałości o charakterze systemowym</w:t>
      </w:r>
      <w:r w:rsidRPr="00767038">
        <w:rPr>
          <w:rFonts w:cs="Times New Roman"/>
          <w:color w:val="000000"/>
          <w:lang w:val="pl-PL"/>
        </w:rPr>
        <w:t>;</w:t>
      </w:r>
    </w:p>
    <w:p w:rsidR="00F3740C" w:rsidRDefault="00885DF7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Wnioski wyciągnięte z ogólnych wyników audytów projektów w odniesieniu do skuteczności systemu zarządzania i kontroli</w:t>
      </w:r>
      <w:r w:rsidR="00F3740C" w:rsidRPr="00767038">
        <w:rPr>
          <w:rFonts w:cs="Times New Roman"/>
          <w:color w:val="000000"/>
          <w:lang w:val="pl-PL"/>
        </w:rPr>
        <w:t>.</w:t>
      </w:r>
    </w:p>
    <w:p w:rsidR="00F623D7" w:rsidRPr="00767038" w:rsidRDefault="00F623D7" w:rsidP="00F623D7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>Koordynacja między organami audytowymi i pracami nadzorczymi IA</w:t>
      </w:r>
    </w:p>
    <w:p w:rsidR="00F623D7" w:rsidRDefault="00F623D7" w:rsidP="00F623D7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DF6C58">
        <w:rPr>
          <w:rFonts w:cs="Times New Roman"/>
          <w:color w:val="000000"/>
          <w:lang w:val="pl-PL"/>
        </w:rPr>
        <w:t>Opis procedury koordynacji między IA i organami audytowymi, które przeprowadzają audyty zgodnie z art. 5.5.2 Regulacji, jeżeli dotyczy. Procedura powinna obejmować koordynację związaną z planowaniem i koordynowaniem audytu oraz weryfikacją wyników audytu w celu wyciągnięcia ostatecznych wniosków i sformułowania opinii z audytu;</w:t>
      </w:r>
    </w:p>
    <w:p w:rsidR="00F623D7" w:rsidRDefault="00F623D7" w:rsidP="00F623D7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DF6C58">
        <w:rPr>
          <w:rFonts w:cs="Times New Roman"/>
          <w:color w:val="000000"/>
          <w:lang w:val="pl-PL"/>
        </w:rPr>
        <w:t>Opis procedury nadzoru i kontroli jakości, którą IA stosuje względem podmiotu audytowego. Opis powinien obejmować zarys rzeczywiście prowadzonego nadzoru w roku finansowym z uwzględnieniem przyjętych w skali międzynarodowej standardów lub wytycznych rewizji finansowej</w:t>
      </w:r>
      <w:r w:rsidRPr="00767038">
        <w:rPr>
          <w:rStyle w:val="Odwoanieprzypisudolnego"/>
          <w:rFonts w:cs="Times New Roman"/>
          <w:color w:val="000000"/>
          <w:lang w:val="pl-PL"/>
        </w:rPr>
        <w:footnoteReference w:id="21"/>
      </w:r>
      <w:r w:rsidRPr="00DF6C58">
        <w:rPr>
          <w:rFonts w:cs="Times New Roman"/>
          <w:color w:val="000000"/>
          <w:lang w:val="pl-PL"/>
        </w:rPr>
        <w:t>.</w:t>
      </w:r>
    </w:p>
    <w:p w:rsidR="00F623D7" w:rsidRPr="00767038" w:rsidRDefault="00F623D7" w:rsidP="00F623D7">
      <w:pPr>
        <w:pStyle w:val="Akapitzlist"/>
        <w:autoSpaceDE w:val="0"/>
        <w:autoSpaceDN w:val="0"/>
        <w:adjustRightInd w:val="0"/>
        <w:spacing w:after="100" w:afterAutospacing="1"/>
        <w:ind w:left="284"/>
        <w:contextualSpacing w:val="0"/>
        <w:rPr>
          <w:rFonts w:cs="Times New Roman"/>
          <w:color w:val="000000"/>
          <w:lang w:val="pl-PL"/>
        </w:rPr>
      </w:pPr>
    </w:p>
    <w:p w:rsidR="00F3740C" w:rsidRPr="00767038" w:rsidRDefault="007D37F7" w:rsidP="00C27B08">
      <w:pPr>
        <w:pStyle w:val="Nagwek3"/>
        <w:rPr>
          <w:lang w:val="pl-PL"/>
        </w:rPr>
      </w:pPr>
      <w:r w:rsidRPr="00767038">
        <w:rPr>
          <w:lang w:val="pl-PL"/>
        </w:rPr>
        <w:t>Pozostałe informacje</w:t>
      </w:r>
    </w:p>
    <w:p w:rsidR="00F3740C" w:rsidRPr="00767038" w:rsidRDefault="00305EFB" w:rsidP="00376576">
      <w:pPr>
        <w:autoSpaceDE w:val="0"/>
        <w:autoSpaceDN w:val="0"/>
        <w:adjustRightInd w:val="0"/>
        <w:spacing w:after="100" w:afterAutospacing="1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 xml:space="preserve">Jeżeli </w:t>
      </w:r>
      <w:r w:rsidR="00E745CD" w:rsidRPr="00767038">
        <w:rPr>
          <w:rFonts w:cs="Times New Roman"/>
          <w:color w:val="000000"/>
          <w:lang w:val="pl-PL"/>
        </w:rPr>
        <w:t>dotyczy</w:t>
      </w:r>
      <w:r w:rsidRPr="00767038">
        <w:rPr>
          <w:rFonts w:cs="Times New Roman"/>
          <w:color w:val="000000"/>
          <w:lang w:val="pl-PL"/>
        </w:rPr>
        <w:t>, informacje na temat zgłaszanych nadużyć i podejrzeń nadużyć, które stwierdzono w kontekście audytów przeprowadzanych przez IA</w:t>
      </w:r>
      <w:r w:rsidR="00F3740C" w:rsidRPr="00767038">
        <w:rPr>
          <w:rFonts w:cs="Times New Roman"/>
          <w:color w:val="000000"/>
          <w:lang w:val="pl-PL"/>
        </w:rPr>
        <w:t xml:space="preserve"> (</w:t>
      </w:r>
      <w:r w:rsidRPr="00767038">
        <w:rPr>
          <w:rFonts w:cs="Times New Roman"/>
          <w:color w:val="000000"/>
          <w:lang w:val="pl-PL"/>
        </w:rPr>
        <w:t xml:space="preserve">z uwzględnieniem przypadków zgłaszanych przez pozostałe </w:t>
      </w:r>
      <w:r w:rsidR="00E745CD" w:rsidRPr="00767038">
        <w:rPr>
          <w:rFonts w:cs="Times New Roman"/>
          <w:color w:val="000000"/>
          <w:lang w:val="pl-PL"/>
        </w:rPr>
        <w:t xml:space="preserve">podmioty </w:t>
      </w:r>
      <w:r w:rsidRPr="00767038">
        <w:rPr>
          <w:rFonts w:cs="Times New Roman"/>
          <w:color w:val="000000"/>
          <w:lang w:val="pl-PL"/>
        </w:rPr>
        <w:t>i związanych z projektami kontrolowanymi przez IA</w:t>
      </w:r>
      <w:r w:rsidR="00F3740C" w:rsidRPr="00767038">
        <w:rPr>
          <w:rFonts w:cs="Times New Roman"/>
          <w:color w:val="000000"/>
          <w:lang w:val="pl-PL"/>
        </w:rPr>
        <w:t xml:space="preserve">), </w:t>
      </w:r>
      <w:r w:rsidRPr="00767038">
        <w:rPr>
          <w:rFonts w:cs="Times New Roman"/>
          <w:color w:val="000000"/>
          <w:lang w:val="pl-PL"/>
        </w:rPr>
        <w:t>w tym podjętych środków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Jeżeli pozwalają na to krajowe zasady dotyczące prowadzonych dochodzeń, IA powinna zbierać informacje na temat charakteru nadużyć i oceniać, czy są to kwestie o charakterze systemowym, i jeżeli tak, czy zostały podjęte działania zaradcze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Stan wdrożenia korekt finansowych w związku z nadużyciami lub podejrzewanymi nadużyciami i informacje na temat FRO, w którym korekty zostały uwzględnione, należy raportować w raporcie rocznym z audytu, jeżeli jest to odpowiednie.</w:t>
      </w:r>
    </w:p>
    <w:p w:rsidR="00F3740C" w:rsidRPr="00767038" w:rsidRDefault="003F3C10" w:rsidP="00C27B08">
      <w:pPr>
        <w:pStyle w:val="Nagwek3"/>
        <w:rPr>
          <w:lang w:val="pl-PL"/>
        </w:rPr>
      </w:pPr>
      <w:r w:rsidRPr="00767038">
        <w:rPr>
          <w:lang w:val="pl-PL"/>
        </w:rPr>
        <w:t xml:space="preserve"> </w:t>
      </w:r>
      <w:r w:rsidR="007D37F7" w:rsidRPr="00767038">
        <w:rPr>
          <w:lang w:val="pl-PL"/>
        </w:rPr>
        <w:t>Ogólny poziom pewności</w:t>
      </w:r>
    </w:p>
    <w:p w:rsidR="00F3740C" w:rsidRPr="00767038" w:rsidRDefault="00305EFB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color w:val="000000"/>
          <w:lang w:val="pl-PL"/>
        </w:rPr>
        <w:t>Określenie ogólnego poziomu pewności co do właściwego funkcjonowania systemu zarządzania i kontroli, wyjaśnienie sposobu ustalenia poziomu pewności na podstawie połączenia wyników audytów systemowych i audytów projektów</w:t>
      </w:r>
      <w:r w:rsidR="00F3740C" w:rsidRPr="00767038">
        <w:rPr>
          <w:color w:val="000000"/>
          <w:lang w:val="pl-PL"/>
        </w:rPr>
        <w:t>.</w:t>
      </w:r>
      <w:r w:rsidRPr="00767038">
        <w:rPr>
          <w:color w:val="000000"/>
          <w:lang w:val="pl-PL"/>
        </w:rPr>
        <w:t xml:space="preserve"> Na potrzeby opinii z audytu, którą sporządza IA</w:t>
      </w:r>
      <w:r w:rsidR="00F3740C" w:rsidRPr="00767038">
        <w:rPr>
          <w:color w:val="000000"/>
          <w:lang w:val="pl-PL"/>
        </w:rPr>
        <w:t>,</w:t>
      </w:r>
      <w:r w:rsidRPr="00767038">
        <w:rPr>
          <w:color w:val="000000"/>
          <w:lang w:val="pl-PL"/>
        </w:rPr>
        <w:t xml:space="preserve"> poziom pewności co do legalności i prawidłowości wydatków i właściwego funkcjonowania </w:t>
      </w:r>
      <w:r w:rsidR="00E745CD" w:rsidRPr="00767038">
        <w:rPr>
          <w:color w:val="000000"/>
          <w:lang w:val="pl-PL"/>
        </w:rPr>
        <w:t>systemu zarządzania i kontroli</w:t>
      </w:r>
      <w:r w:rsidRPr="00767038">
        <w:rPr>
          <w:color w:val="000000"/>
          <w:lang w:val="pl-PL"/>
        </w:rPr>
        <w:t xml:space="preserve"> jest oparty na połączonych wynikach audytów systemowych</w:t>
      </w:r>
      <w:r w:rsidR="00F3740C" w:rsidRPr="00767038">
        <w:rPr>
          <w:color w:val="000000"/>
          <w:lang w:val="pl-PL"/>
        </w:rPr>
        <w:t xml:space="preserve"> (</w:t>
      </w:r>
      <w:r w:rsidRPr="00767038">
        <w:rPr>
          <w:color w:val="000000"/>
          <w:lang w:val="pl-PL"/>
        </w:rPr>
        <w:t>sekcja „Audyty systemowe” powyżej</w:t>
      </w:r>
      <w:r w:rsidR="00F3740C" w:rsidRPr="00767038">
        <w:rPr>
          <w:color w:val="000000"/>
          <w:lang w:val="pl-PL"/>
        </w:rPr>
        <w:t xml:space="preserve">) </w:t>
      </w:r>
      <w:r w:rsidRPr="00767038">
        <w:rPr>
          <w:color w:val="000000"/>
          <w:lang w:val="pl-PL"/>
        </w:rPr>
        <w:t>i audytów projektów</w:t>
      </w:r>
      <w:r w:rsidR="00F3740C" w:rsidRPr="00767038">
        <w:rPr>
          <w:color w:val="000000"/>
          <w:lang w:val="pl-PL"/>
        </w:rPr>
        <w:t xml:space="preserve"> (</w:t>
      </w:r>
      <w:r w:rsidRPr="00767038">
        <w:rPr>
          <w:color w:val="000000"/>
          <w:lang w:val="pl-PL"/>
        </w:rPr>
        <w:t>sekcja „Audyty projektów” powyżej</w:t>
      </w:r>
      <w:r w:rsidR="00F3740C" w:rsidRPr="00767038">
        <w:rPr>
          <w:color w:val="000000"/>
          <w:lang w:val="pl-PL"/>
        </w:rPr>
        <w:t xml:space="preserve">); </w:t>
      </w:r>
    </w:p>
    <w:p w:rsidR="00154997" w:rsidRPr="00767038" w:rsidRDefault="008F081E" w:rsidP="00417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Ocena wdrożony</w:t>
      </w:r>
      <w:r w:rsidR="00E745CD" w:rsidRPr="00767038">
        <w:rPr>
          <w:rFonts w:cs="Times New Roman"/>
          <w:color w:val="000000"/>
          <w:lang w:val="pl-PL"/>
        </w:rPr>
        <w:t>ch</w:t>
      </w:r>
      <w:r w:rsidRPr="00767038">
        <w:rPr>
          <w:rFonts w:cs="Times New Roman"/>
          <w:color w:val="000000"/>
          <w:lang w:val="pl-PL"/>
        </w:rPr>
        <w:t xml:space="preserve"> działań łagodzących skutki, w tym korekt finansowych, i ocena </w:t>
      </w:r>
      <w:r w:rsidR="008334A7" w:rsidRPr="00767038">
        <w:rPr>
          <w:rFonts w:cs="Times New Roman"/>
          <w:color w:val="000000"/>
          <w:lang w:val="pl-PL"/>
        </w:rPr>
        <w:t>potrzeby</w:t>
      </w:r>
      <w:r w:rsidRPr="00767038">
        <w:rPr>
          <w:rFonts w:cs="Times New Roman"/>
          <w:color w:val="000000"/>
          <w:lang w:val="pl-PL"/>
        </w:rPr>
        <w:t xml:space="preserve"> podjęcia dodatkowych </w:t>
      </w:r>
      <w:r w:rsidR="00E745CD" w:rsidRPr="00767038">
        <w:rPr>
          <w:rFonts w:cs="Times New Roman"/>
          <w:color w:val="000000"/>
          <w:lang w:val="pl-PL"/>
        </w:rPr>
        <w:t xml:space="preserve">działań </w:t>
      </w:r>
      <w:r w:rsidRPr="00767038">
        <w:rPr>
          <w:rFonts w:cs="Times New Roman"/>
          <w:color w:val="000000"/>
          <w:lang w:val="pl-PL"/>
        </w:rPr>
        <w:t>korygujących zarówno z punktu widzenia systemu, jak i finansów</w:t>
      </w:r>
      <w:r w:rsidR="00F3740C" w:rsidRPr="00767038">
        <w:rPr>
          <w:rFonts w:cs="Times New Roman"/>
          <w:color w:val="000000"/>
          <w:lang w:val="pl-PL"/>
        </w:rPr>
        <w:t>.</w:t>
      </w:r>
    </w:p>
    <w:p w:rsidR="00F3740C" w:rsidRPr="00767038" w:rsidRDefault="00CC3C4F" w:rsidP="00C27B08">
      <w:pPr>
        <w:pStyle w:val="Nagwek3"/>
        <w:rPr>
          <w:lang w:val="pl-PL"/>
        </w:rPr>
      </w:pPr>
      <w:r w:rsidRPr="00767038">
        <w:rPr>
          <w:lang w:val="pl-PL"/>
        </w:rPr>
        <w:lastRenderedPageBreak/>
        <w:t xml:space="preserve"> </w:t>
      </w:r>
      <w:r w:rsidR="007D37F7" w:rsidRPr="00767038">
        <w:rPr>
          <w:lang w:val="pl-PL"/>
        </w:rPr>
        <w:t>Opinia z audytu</w:t>
      </w:r>
    </w:p>
    <w:p w:rsidR="006575E5" w:rsidRPr="00767038" w:rsidRDefault="008F081E" w:rsidP="006575E5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Opinia z audytu jest oparta na wnioskach z uzyskanych dowodów audytowych. Wydaje się trzy rodzaje opinii z audytu</w:t>
      </w:r>
      <w:r w:rsidR="00F3740C" w:rsidRPr="00767038">
        <w:rPr>
          <w:rFonts w:cs="Times New Roman"/>
          <w:color w:val="000000"/>
          <w:lang w:val="pl-PL"/>
        </w:rPr>
        <w:t>:</w:t>
      </w:r>
      <w:r w:rsidRPr="00767038">
        <w:rPr>
          <w:rFonts w:cs="Times New Roman"/>
          <w:color w:val="000000"/>
          <w:lang w:val="pl-PL"/>
        </w:rPr>
        <w:t xml:space="preserve"> opinię bez zastrzeżeń, opinię z zastrzeżeniami i opinię negatywną</w:t>
      </w:r>
      <w:r w:rsidR="00F3740C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IA może zawrzeć w opinii wyjaśnienie, które nie ma wpływu na opinię, zgodnie z przyjętymi w skali międzynarodowej standardami rewizji finansowej</w:t>
      </w:r>
      <w:r w:rsidR="00F3740C" w:rsidRPr="00767038">
        <w:rPr>
          <w:rFonts w:cs="Times New Roman"/>
          <w:color w:val="000000"/>
          <w:lang w:val="pl-PL"/>
        </w:rPr>
        <w:t>.</w:t>
      </w:r>
      <w:r w:rsidRPr="00767038">
        <w:rPr>
          <w:rFonts w:cs="Times New Roman"/>
          <w:color w:val="000000"/>
          <w:lang w:val="pl-PL"/>
        </w:rPr>
        <w:t xml:space="preserve"> W wyjątkowych przypadkach można odmówić wydania opinii</w:t>
      </w:r>
      <w:r w:rsidR="00F3740C" w:rsidRPr="00767038">
        <w:rPr>
          <w:rStyle w:val="Odwoanieprzypisudolnego"/>
          <w:rFonts w:cs="Times New Roman"/>
          <w:color w:val="000000"/>
          <w:lang w:val="pl-PL"/>
        </w:rPr>
        <w:footnoteReference w:id="22"/>
      </w:r>
      <w:r w:rsidR="00F3740C" w:rsidRPr="00767038">
        <w:rPr>
          <w:rFonts w:cs="Times New Roman"/>
          <w:color w:val="000000"/>
          <w:lang w:val="pl-PL"/>
        </w:rPr>
        <w:t>.</w:t>
      </w:r>
    </w:p>
    <w:p w:rsidR="00F3740C" w:rsidRPr="00767038" w:rsidRDefault="008334A7" w:rsidP="006575E5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W szczególności w przypadku wydania opinii z zastrze</w:t>
      </w:r>
      <w:r w:rsidR="002F4226" w:rsidRPr="00767038">
        <w:rPr>
          <w:rFonts w:cs="Times New Roman"/>
          <w:color w:val="000000"/>
          <w:lang w:val="pl-PL"/>
        </w:rPr>
        <w:t xml:space="preserve">żeniami i opinii negatywnej oczekuje się, że IA zaproponuje działania korygujące, które powinny podjąć poszczególne </w:t>
      </w:r>
      <w:r w:rsidR="00E745CD" w:rsidRPr="00767038">
        <w:rPr>
          <w:rFonts w:cs="Times New Roman"/>
          <w:color w:val="000000"/>
          <w:lang w:val="pl-PL"/>
        </w:rPr>
        <w:t>zaangażowane podmioty</w:t>
      </w:r>
      <w:r w:rsidR="00F3740C" w:rsidRPr="00767038">
        <w:rPr>
          <w:rFonts w:cs="Times New Roman"/>
          <w:color w:val="000000"/>
          <w:lang w:val="pl-PL"/>
        </w:rPr>
        <w:t>.</w:t>
      </w:r>
      <w:r w:rsidR="002F4226" w:rsidRPr="00767038">
        <w:rPr>
          <w:rFonts w:cs="Times New Roman"/>
          <w:color w:val="000000"/>
          <w:lang w:val="pl-PL"/>
        </w:rPr>
        <w:t xml:space="preserve"> IA powinna sprawdzić, czy takie działania zostały rzeczywiście wdrożone i w kolejnym roku przedłożyć raport z ich wdrożenia w ramach sekcji 4 i 5 raportu rocznego z audytu</w:t>
      </w:r>
      <w:r w:rsidR="00F3740C" w:rsidRPr="00767038">
        <w:rPr>
          <w:rFonts w:cs="Times New Roman"/>
          <w:color w:val="000000"/>
          <w:lang w:val="pl-PL"/>
        </w:rPr>
        <w:t>.</w:t>
      </w:r>
    </w:p>
    <w:p w:rsidR="00F3740C" w:rsidRPr="00767038" w:rsidRDefault="002F4226" w:rsidP="00376576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Ustalając opinie z audytu i określając poziomy pewności, należy kierować się odpowiedni</w:t>
      </w:r>
      <w:r w:rsidR="00E745CD" w:rsidRPr="00767038">
        <w:rPr>
          <w:rFonts w:cs="Times New Roman"/>
          <w:color w:val="000000"/>
          <w:lang w:val="pl-PL"/>
        </w:rPr>
        <w:t>o</w:t>
      </w:r>
      <w:r w:rsidRPr="00767038">
        <w:rPr>
          <w:rFonts w:cs="Times New Roman"/>
          <w:color w:val="000000"/>
          <w:lang w:val="pl-PL"/>
        </w:rPr>
        <w:t xml:space="preserve"> profesjonaln</w:t>
      </w:r>
      <w:r w:rsidR="00E745CD" w:rsidRPr="00767038">
        <w:rPr>
          <w:rFonts w:cs="Times New Roman"/>
          <w:color w:val="000000"/>
          <w:lang w:val="pl-PL"/>
        </w:rPr>
        <w:t>ą</w:t>
      </w:r>
      <w:r w:rsidRPr="00767038">
        <w:rPr>
          <w:rFonts w:cs="Times New Roman"/>
          <w:color w:val="000000"/>
          <w:lang w:val="pl-PL"/>
        </w:rPr>
        <w:t xml:space="preserve"> o</w:t>
      </w:r>
      <w:r w:rsidR="00E745CD" w:rsidRPr="00767038">
        <w:rPr>
          <w:rFonts w:cs="Times New Roman"/>
          <w:color w:val="000000"/>
          <w:lang w:val="pl-PL"/>
        </w:rPr>
        <w:t>ceną,</w:t>
      </w:r>
      <w:r w:rsidRPr="00767038">
        <w:rPr>
          <w:rFonts w:cs="Times New Roman"/>
          <w:color w:val="000000"/>
          <w:lang w:val="pl-PL"/>
        </w:rPr>
        <w:t xml:space="preserve"> w celu określenia, czy waga wniosków z audytu uzasadnia wydanie opinii z zastrzeżeniami lub opinii negatywnej</w:t>
      </w:r>
      <w:r w:rsidR="00F3740C" w:rsidRPr="00767038">
        <w:rPr>
          <w:rFonts w:cs="Times New Roman"/>
          <w:color w:val="000000"/>
          <w:lang w:val="pl-PL"/>
        </w:rPr>
        <w:t>.</w:t>
      </w:r>
    </w:p>
    <w:p w:rsidR="00154997" w:rsidRPr="00767038" w:rsidRDefault="002F4226" w:rsidP="00154997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W wyjątkowych przypadkach IA może wydać oświadczenie o odmowie wydania opinii</w:t>
      </w:r>
      <w:r w:rsidR="00154997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Ma to zastosowanie wyłącznie w przypadku, gdy IA nie jest w stanie zbadać zgłaszanych wydatków lub funkcjonowania systemu zarządzania i kontroli ze względu na czynniki zewnętrzne, na które IA nie ma wpływu</w:t>
      </w:r>
      <w:r w:rsidR="00154997" w:rsidRPr="00767038">
        <w:rPr>
          <w:rFonts w:cs="Times New Roman"/>
          <w:color w:val="000000"/>
          <w:lang w:val="pl-PL"/>
        </w:rPr>
        <w:t xml:space="preserve">. </w:t>
      </w:r>
      <w:r w:rsidRPr="00767038">
        <w:rPr>
          <w:rFonts w:cs="Times New Roman"/>
          <w:color w:val="000000"/>
          <w:lang w:val="pl-PL"/>
        </w:rPr>
        <w:t>W takich przypadkach IA powinna wyjaśnić, dlaczego nie może sformułować opinii z audytu</w:t>
      </w:r>
      <w:r w:rsidR="00154997" w:rsidRPr="00767038">
        <w:rPr>
          <w:rFonts w:cs="Times New Roman"/>
          <w:color w:val="000000"/>
          <w:lang w:val="pl-PL"/>
        </w:rPr>
        <w:t>.</w:t>
      </w:r>
    </w:p>
    <w:p w:rsidR="00154997" w:rsidRPr="00767038" w:rsidRDefault="002F4226" w:rsidP="00C27F98">
      <w:pPr>
        <w:autoSpaceDE w:val="0"/>
        <w:autoSpaceDN w:val="0"/>
        <w:adjustRightInd w:val="0"/>
        <w:rPr>
          <w:rFonts w:cs="Times New Roman"/>
          <w:color w:val="000000"/>
          <w:lang w:val="pl-PL"/>
        </w:rPr>
      </w:pPr>
      <w:r w:rsidRPr="00767038">
        <w:rPr>
          <w:rFonts w:cs="Times New Roman"/>
          <w:color w:val="000000"/>
          <w:lang w:val="pl-PL"/>
        </w:rPr>
        <w:t>Poniżej przedstawiono przykładow</w:t>
      </w:r>
      <w:r w:rsidR="00E745CD" w:rsidRPr="00767038">
        <w:rPr>
          <w:rFonts w:cs="Times New Roman"/>
          <w:color w:val="000000"/>
          <w:lang w:val="pl-PL"/>
        </w:rPr>
        <w:t>ą</w:t>
      </w:r>
      <w:r w:rsidRPr="00767038">
        <w:rPr>
          <w:rFonts w:cs="Times New Roman"/>
          <w:color w:val="000000"/>
          <w:lang w:val="pl-PL"/>
        </w:rPr>
        <w:t xml:space="preserve"> opini</w:t>
      </w:r>
      <w:r w:rsidR="00E745CD" w:rsidRPr="00767038">
        <w:rPr>
          <w:rFonts w:cs="Times New Roman"/>
          <w:color w:val="000000"/>
          <w:lang w:val="pl-PL"/>
        </w:rPr>
        <w:t>ę</w:t>
      </w:r>
      <w:r w:rsidRPr="00767038">
        <w:rPr>
          <w:rFonts w:cs="Times New Roman"/>
          <w:color w:val="000000"/>
          <w:lang w:val="pl-PL"/>
        </w:rPr>
        <w:t xml:space="preserve"> z audytu</w:t>
      </w:r>
      <w:r w:rsidR="00154997" w:rsidRPr="00767038">
        <w:rPr>
          <w:rFonts w:cs="Times New Roman"/>
          <w:color w:val="000000"/>
          <w:lang w:val="pl-PL"/>
        </w:rPr>
        <w:t xml:space="preserve">. </w:t>
      </w:r>
      <w:r w:rsidR="00154997" w:rsidRPr="00767038">
        <w:rPr>
          <w:rFonts w:cs="Times New Roman"/>
          <w:color w:val="000000"/>
          <w:lang w:val="pl-PL"/>
        </w:rPr>
        <w:br w:type="page"/>
      </w:r>
    </w:p>
    <w:p w:rsidR="009E6FA0" w:rsidRPr="00767038" w:rsidRDefault="00FB2938" w:rsidP="00006187">
      <w:pPr>
        <w:autoSpaceDE w:val="0"/>
        <w:autoSpaceDN w:val="0"/>
        <w:adjustRightInd w:val="0"/>
        <w:rPr>
          <w:rFonts w:eastAsia="AGaramondPro-Regular" w:cs="Arial"/>
          <w:i/>
          <w:color w:val="ED7D31" w:themeColor="accent2"/>
          <w:sz w:val="18"/>
          <w:szCs w:val="18"/>
          <w:lang w:val="pl-PL"/>
        </w:rPr>
      </w:pPr>
      <w:r>
        <w:rPr>
          <w:i/>
          <w:iCs/>
          <w:noProof/>
          <w:color w:val="ED7D31" w:themeColor="accent2"/>
          <w:sz w:val="18"/>
          <w:szCs w:val="18"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0</wp:posOffset>
                </wp:positionV>
                <wp:extent cx="5810250" cy="9053830"/>
                <wp:effectExtent l="0" t="0" r="19050" b="13970"/>
                <wp:wrapTopAndBottom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05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654EF7" w:rsidRDefault="00C522D7" w:rsidP="00154997">
                            <w:pP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Przykłady:</w:t>
                            </w:r>
                          </w:p>
                          <w:p w:rsidR="00C522D7" w:rsidRPr="00654EF7" w:rsidRDefault="00C522D7" w:rsidP="0015499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</w:pPr>
                            <w:r w:rsidRPr="00654EF7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>Opinia bez zastrzeżeń: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cs="Times New Roman"/>
                                <w:i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W oparciu o wykonane prace audytowe stwierdzam, że system zarządzania i kontroli jest skuteczny oraz zapewnia racjonalną pewność, że sprawozdania rzeczywiście poniesionych wydatków, które zostały przedłożone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do 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KMF/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N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MSZ, są poprawne i w konsekwencji dają racjonalną pewność, że stanowiące ich podstawę transakcje są legalne i prawidłowe.</w:t>
                            </w:r>
                          </w:p>
                          <w:p w:rsidR="00C522D7" w:rsidRPr="00654EF7" w:rsidRDefault="00C522D7" w:rsidP="0015499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</w:pPr>
                            <w:r w:rsidRPr="00654EF7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>Opinia z zastrzeżeniami: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W oparciu o wykonane prace audytowe stwierdzam, że system zarządzania i kontroli jest skuteczny oraz zapewnia racjonalną pewność, że sprawozdania rzeczywiście poniesionych wydatków, które zostały przedłożone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do 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KMF/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N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MSZ, są poprawne i w konsekwencji dają racjonalną pewność, że stanowiące ich podstawę transakcje są legalne i prawidłowe, z wyłączeniem następujących aspektów: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w związku z istotnymi kwestiami dotyczącymi legalności i prawidłowości wydatków: …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i/lub [skreślić odpowiednio] w związku z istotnymi kwestiami związanymi z funkcjonowaniem systemu zarządzania i kontroli: …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Z tego względu szacuję, że wpływ zastrzeżenia lub zastrzeżeń jest [ograniczony]/[istotny]. [skreślić odpowiednio]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Wpływ ten odnosi się do …… [kwota w euro i %] całkowitych zgłoszonych wydatków. Odpowiedni wkład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P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aństw-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D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arczyńców jest stąd równy … [kwota w euro].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IA powinna:</w:t>
                            </w:r>
                          </w:p>
                          <w:p w:rsidR="00C522D7" w:rsidRPr="00654EF7" w:rsidRDefault="00C522D7" w:rsidP="002357A4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opisać szczegółowo i wyjaśnić zastrzeżenia,</w:t>
                            </w:r>
                          </w:p>
                          <w:p w:rsidR="00C522D7" w:rsidRPr="00654EF7" w:rsidRDefault="00C522D7" w:rsidP="002357A4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oszacować ich wpływ: ograniczony lub istotny,</w:t>
                            </w:r>
                          </w:p>
                          <w:p w:rsidR="00C522D7" w:rsidRPr="00654EF7" w:rsidRDefault="00C522D7" w:rsidP="002357A4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określić ilościowo wpływ.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Szacunek wpływu zastrzeżenia jako „ograniczonego” uznaje się za odpowiedni, jeżeli dotyczy nieprawidłowości (które nie zostały jeszcze skorygowane) odnoszących się do wydatków powyżej 2%, lecz poniżej lub równych 5% całkowitych poświadczonych wydatków w tych księgach</w:t>
                            </w:r>
                            <w:r w:rsidRPr="00654EF7">
                              <w:rPr>
                                <w:rFonts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. Jeżeli takie nieprawidłowości przekraczają 5% </w:t>
                            </w: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całkowitych poświadczonych wydatków w tych księgach</w:t>
                            </w:r>
                            <w:r w:rsidRPr="00654EF7">
                              <w:rPr>
                                <w:rFonts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, odpowiednie zastrzeżenie należy oszacować jako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pl-PL"/>
                              </w:rPr>
                              <w:t>„</w:t>
                            </w:r>
                            <w:r w:rsidRPr="00654EF7">
                              <w:rPr>
                                <w:rFonts w:cs="Times New Roman"/>
                                <w:sz w:val="18"/>
                                <w:szCs w:val="18"/>
                                <w:lang w:val="pl-PL"/>
                              </w:rPr>
                              <w:t>istotne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pl-PL"/>
                              </w:rPr>
                              <w:t>”</w:t>
                            </w:r>
                            <w:r w:rsidRPr="00654EF7">
                              <w:rPr>
                                <w:rFonts w:cs="Times New Roman"/>
                                <w:sz w:val="18"/>
                                <w:szCs w:val="18"/>
                                <w:lang w:val="pl-PL"/>
                              </w:rPr>
                              <w:t>. To samo rozumowanie ma zastosowanie, jeżeli IA nie może precyzyjnie skwantyfikować dokładnej kwoty nieprawidłowości i stosuje się stawkę stałą</w:t>
                            </w: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; ma to miejsce w przy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padku niedoskonałości systemowych</w:t>
                            </w: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IA powinna określić jednoznacznie, czy takie zastrzeżenia odnoszą się do legalności i prawidłowości wydatków lub systemów zarządzania i kontroli</w:t>
                            </w:r>
                            <w:r w:rsidRPr="00654EF7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522D7" w:rsidRPr="00654EF7" w:rsidRDefault="00C522D7" w:rsidP="0015499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</w:pPr>
                            <w:r w:rsidRPr="00654EF7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>Opinia negatywna: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W oparciu o wykonane prace audytowe stwierdzam, system zarządzania i kontroli nie jest skuteczny i nie zapewnia racjonalnej pewności, że sprawozdania rzeczywiście poniesionych wydatków, które zostały przedłożone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do 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KMF/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N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MSZ, są poprawne i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w konsekwencji 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dają racjonalną pewność, że stanowiące ich podstawę transakcje są legalne i prawidłowe.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Niniejsza opinia negatywna jest oparta na następujących aspektach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w związku z istotnymi kwestiami dotyczącymi legalności i prawidłowości wydatków: …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i/lub [skreślić odpowiednio] w związku z istotnymi kwestiami związanymi z funkcjonowaniem systemu zarządzania i kontroli: …</w:t>
                            </w:r>
                          </w:p>
                          <w:p w:rsidR="00C522D7" w:rsidRPr="00654EF7" w:rsidRDefault="00C522D7" w:rsidP="0015499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</w:pPr>
                            <w:r w:rsidRPr="00654EF7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>Odmowa wydania opinii:</w:t>
                            </w:r>
                          </w:p>
                          <w:p w:rsidR="00C522D7" w:rsidRPr="00654EF7" w:rsidRDefault="00C522D7" w:rsidP="001549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i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Ze względu na wagę kwestii opisanej w powyższym paragrafie dotyczącym ograniczenia badania nie byłem w stanie uzyskać wystarczających odpowiednich danych audytowych, które stanowiły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by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 podstawę do wydania opinii z audytu. W związku z powyższym nie wyrażam opinii, czy system zarządzania i kontroli jest skuteczny i zapewnia racjonalną pewność, że sprawozdania rzeczywiście poniesionych wydatków, które zostały przedłożone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 xml:space="preserve">do BMF, są poprawne i w konsekwencji dają racjonalną pewność, że </w:t>
                            </w:r>
                            <w:r w:rsidRPr="00654EF7">
                              <w:rPr>
                                <w:rFonts w:cs="Times New Roman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  <w:t>stanowiące ich podstawę transakcje są legalne i prawidłowe.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0.65pt;margin-top:0;width:457.5pt;height:71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">
                <v:textbox>
                  <w:txbxContent>
                    <w:p w:rsidR="00C522D7" w:rsidRPr="00654EF7" w:rsidRDefault="00C522D7" w:rsidP="00154997">
                      <w:pPr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b/>
                          <w:bCs/>
                          <w:sz w:val="18"/>
                          <w:szCs w:val="18"/>
                          <w:lang w:val="pl-PL"/>
                        </w:rPr>
                        <w:t>Przykłady:</w:t>
                      </w:r>
                    </w:p>
                    <w:p w:rsidR="00C522D7" w:rsidRPr="00654EF7" w:rsidRDefault="00C522D7" w:rsidP="00154997">
                      <w:pPr>
                        <w:rPr>
                          <w:sz w:val="18"/>
                          <w:szCs w:val="18"/>
                          <w:u w:val="single"/>
                          <w:lang w:val="pl-PL"/>
                        </w:rPr>
                      </w:pPr>
                      <w:r w:rsidRPr="00654EF7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>Opinia bez zastrzeżeń: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cs="Times New Roman"/>
                          <w:i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W oparciu o wykonane prace audytowe stwierdzam, że system zarządzania i kontroli jest skuteczny oraz zapewnia racjonalną pewność, że sprawozdania rzeczywiście poniesionych wydatków, które zostały przedłożone 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do 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KMF/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N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MSZ, są poprawne i w konsekwencji dają racjonalną pewność, że stanowiące ich podstawę transakcje są legalne i prawidłowe.</w:t>
                      </w:r>
                    </w:p>
                    <w:p w:rsidR="00C522D7" w:rsidRPr="00654EF7" w:rsidRDefault="00C522D7" w:rsidP="00154997">
                      <w:pPr>
                        <w:rPr>
                          <w:sz w:val="18"/>
                          <w:szCs w:val="18"/>
                          <w:u w:val="single"/>
                          <w:lang w:val="pl-PL"/>
                        </w:rPr>
                      </w:pPr>
                      <w:r w:rsidRPr="00654EF7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>Opinia z zastrzeżeniami: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W oparciu o wykonane prace audytowe stwierdzam, że system zarządzania i kontroli jest skuteczny oraz zapewnia racjonalną pewność, że sprawozdania rzeczywiście poniesionych wydatków, które zostały przedłożone 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do 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KMF/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N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MSZ, są poprawne i w konsekwencji dają racjonalną pewność, że stanowiące ich podstawę transakcje są legalne i prawidłowe, z wyłączeniem następujących aspektów: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w związku z istotnymi kwestiami dotyczącymi legalności i prawidłowości wydatków: …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i/lub [skreślić odpowiednio] w związku z istotnymi kwestiami związanymi z funkcjonowaniem systemu zarządzania i kontroli: …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Z tego względu szacuję, że wpływ zastrzeżenia lub zastrzeżeń jest [ograniczony]/[istotny]. [skreślić odpowiednio]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Wpływ ten odnosi się do …… [kwota w euro i %] całkowitych zgłoszonych wydatków. Odpowiedni wkład 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P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aństw-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D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arczyńców jest stąd równy … [kwota w euro].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IA powinna:</w:t>
                      </w:r>
                    </w:p>
                    <w:p w:rsidR="00C522D7" w:rsidRPr="00654EF7" w:rsidRDefault="00C522D7" w:rsidP="002357A4">
                      <w:pPr>
                        <w:pStyle w:val="Akapitzlist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opisać szczegółowo i wyjaśnić zastrzeżenia,</w:t>
                      </w:r>
                    </w:p>
                    <w:p w:rsidR="00C522D7" w:rsidRPr="00654EF7" w:rsidRDefault="00C522D7" w:rsidP="002357A4">
                      <w:pPr>
                        <w:pStyle w:val="Akapitzlist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oszacować ich wpływ: ograniczony lub istotny,</w:t>
                      </w:r>
                    </w:p>
                    <w:p w:rsidR="00C522D7" w:rsidRPr="00654EF7" w:rsidRDefault="00C522D7" w:rsidP="002357A4">
                      <w:pPr>
                        <w:pStyle w:val="Akapitzlist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określić ilościowo wpływ.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Szacunek wpływu zastrzeżenia jako „ograniczonego” uznaje się za odpowiedni, jeżeli dotyczy nieprawidłowości (które nie zostały jeszcze skorygowane) odnoszących się do wydatków powyżej 2%, lecz poniżej lub równych 5% całkowitych poświadczonych wydatków w tych księgach</w:t>
                      </w:r>
                      <w:r w:rsidRPr="00654EF7">
                        <w:rPr>
                          <w:rFonts w:cs="Times New Roman"/>
                          <w:sz w:val="18"/>
                          <w:szCs w:val="18"/>
                          <w:lang w:val="pl-PL"/>
                        </w:rPr>
                        <w:t xml:space="preserve">. Jeżeli takie nieprawidłowości przekraczają 5% </w:t>
                      </w: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całkowitych poświadczonych wydatków w tych księgach</w:t>
                      </w:r>
                      <w:r w:rsidRPr="00654EF7">
                        <w:rPr>
                          <w:rFonts w:cs="Times New Roman"/>
                          <w:sz w:val="18"/>
                          <w:szCs w:val="18"/>
                          <w:lang w:val="pl-PL"/>
                        </w:rPr>
                        <w:t xml:space="preserve">, odpowiednie zastrzeżenie należy oszacować jako 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pl-PL"/>
                        </w:rPr>
                        <w:t>„</w:t>
                      </w:r>
                      <w:r w:rsidRPr="00654EF7">
                        <w:rPr>
                          <w:rFonts w:cs="Times New Roman"/>
                          <w:sz w:val="18"/>
                          <w:szCs w:val="18"/>
                          <w:lang w:val="pl-PL"/>
                        </w:rPr>
                        <w:t>istotne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pl-PL"/>
                        </w:rPr>
                        <w:t>”</w:t>
                      </w:r>
                      <w:r w:rsidRPr="00654EF7">
                        <w:rPr>
                          <w:rFonts w:cs="Times New Roman"/>
                          <w:sz w:val="18"/>
                          <w:szCs w:val="18"/>
                          <w:lang w:val="pl-PL"/>
                        </w:rPr>
                        <w:t>. To samo rozumowanie ma zastosowanie, jeżeli IA nie może precyzyjnie skwantyfikować dokładnej kwoty nieprawidłowości i stosuje się stawkę stałą</w:t>
                      </w: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; ma to miejsce w przy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padku niedoskonałości systemowych</w:t>
                      </w: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spacing w:before="0"/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IA powinna określić jednoznacznie, czy takie zastrzeżenia odnoszą się do legalności i prawidłowości wydatków lub systemów zarządzania i kontroli</w:t>
                      </w:r>
                      <w:r w:rsidRPr="00654EF7"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522D7" w:rsidRPr="00654EF7" w:rsidRDefault="00C522D7" w:rsidP="00154997">
                      <w:pPr>
                        <w:rPr>
                          <w:sz w:val="18"/>
                          <w:szCs w:val="18"/>
                          <w:u w:val="single"/>
                          <w:lang w:val="pl-PL"/>
                        </w:rPr>
                      </w:pPr>
                      <w:r w:rsidRPr="00654EF7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>Opinia negatywna: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W oparciu o wykonane prace audytowe stwierdzam, system zarządzania i kontroli nie jest skuteczny i nie zapewnia racjonalnej pewności, że sprawozdania rzeczywiście poniesionych wydatków, które zostały przedłożone 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do 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KMF/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N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MSZ, są poprawne i 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w konsekwencji 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dają racjonalną pewność, że stanowiące ich podstawę transakcje są legalne i prawidłowe.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Niniejsza opinia negatywna jest oparta na następujących aspektach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w związku z istotnymi kwestiami dotyczącymi legalności i prawidłowości wydatków: …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i/lub [skreślić odpowiednio] w związku z istotnymi kwestiami związanymi z funkcjonowaniem systemu zarządzania i kontroli: …</w:t>
                      </w:r>
                    </w:p>
                    <w:p w:rsidR="00C522D7" w:rsidRPr="00654EF7" w:rsidRDefault="00C522D7" w:rsidP="00154997">
                      <w:pPr>
                        <w:rPr>
                          <w:sz w:val="18"/>
                          <w:szCs w:val="18"/>
                          <w:u w:val="single"/>
                          <w:lang w:val="pl-PL"/>
                        </w:rPr>
                      </w:pPr>
                      <w:r w:rsidRPr="00654EF7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>Odmowa wydania opinii:</w:t>
                      </w:r>
                    </w:p>
                    <w:p w:rsidR="00C522D7" w:rsidRPr="00654EF7" w:rsidRDefault="00C522D7" w:rsidP="0015499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i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Ze względu na wagę kwestii opisanej w powyższym paragrafie dotyczącym ograniczenia badania nie byłem w stanie uzyskać wystarczających odpowiednich danych audytowych, które stanowiły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by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 podstawę do wydania opinii z audytu. W związku z powyższym nie wyrażam opinii, czy system zarządzania i kontroli jest skuteczny i zapewnia racjonalną pewność, że sprawozdania rzeczywiście poniesionych wydatków, które zostały przedłożone </w:t>
                      </w:r>
                      <w:r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 xml:space="preserve">do BMF, są poprawne i w konsekwencji dają racjonalną pewność, że </w:t>
                      </w:r>
                      <w:r w:rsidRPr="00654EF7">
                        <w:rPr>
                          <w:rFonts w:cs="Times New Roman"/>
                          <w:i/>
                          <w:iCs/>
                          <w:color w:val="002060"/>
                          <w:sz w:val="18"/>
                          <w:szCs w:val="18"/>
                          <w:lang w:val="pl-PL"/>
                        </w:rPr>
                        <w:t>stanowiące ich podstawę transakcje są legalne i prawidłowe.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11" w:name="_Ref462300906"/>
      <w:bookmarkStart w:id="112" w:name="_Ref462300629"/>
      <w:r w:rsidR="00154997" w:rsidRPr="00767038">
        <w:rPr>
          <w:lang w:val="pl-PL"/>
        </w:rPr>
        <w:br w:type="page"/>
      </w:r>
    </w:p>
    <w:p w:rsidR="005D4A0C" w:rsidRPr="00767038" w:rsidRDefault="002F4226" w:rsidP="00177429">
      <w:pPr>
        <w:pStyle w:val="Nagwek1"/>
        <w:rPr>
          <w:lang w:val="pl-PL"/>
        </w:rPr>
      </w:pPr>
      <w:bookmarkStart w:id="113" w:name="_Toc505238523"/>
      <w:bookmarkEnd w:id="111"/>
      <w:bookmarkEnd w:id="112"/>
      <w:r w:rsidRPr="00767038">
        <w:rPr>
          <w:bCs/>
          <w:lang w:val="pl-PL"/>
        </w:rPr>
        <w:lastRenderedPageBreak/>
        <w:t>Faza zamknięcia</w:t>
      </w:r>
      <w:bookmarkEnd w:id="113"/>
    </w:p>
    <w:p w:rsidR="005D4A0C" w:rsidRPr="00767038" w:rsidRDefault="002F4226" w:rsidP="00A0039A">
      <w:pPr>
        <w:pStyle w:val="Nagwek2"/>
        <w:rPr>
          <w:lang w:val="pl-PL"/>
        </w:rPr>
      </w:pPr>
      <w:bookmarkStart w:id="114" w:name="_Ref461630088"/>
      <w:bookmarkStart w:id="115" w:name="_Toc505238524"/>
      <w:r w:rsidRPr="00767038">
        <w:rPr>
          <w:iCs/>
          <w:lang w:val="pl-PL"/>
        </w:rPr>
        <w:t>Saldo końcowe</w:t>
      </w:r>
      <w:r w:rsidR="00D9579D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D9579D" w:rsidRPr="00767038">
        <w:rPr>
          <w:iCs/>
          <w:lang w:val="pl-PL"/>
        </w:rPr>
        <w:t>rt. 9.4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D9579D" w:rsidRPr="00767038">
        <w:rPr>
          <w:iCs/>
          <w:lang w:val="pl-PL"/>
        </w:rPr>
        <w:t>)</w:t>
      </w:r>
      <w:bookmarkEnd w:id="114"/>
      <w:bookmarkEnd w:id="115"/>
    </w:p>
    <w:p w:rsidR="005D0B75" w:rsidRPr="00767038" w:rsidRDefault="00424613" w:rsidP="00376576">
      <w:pPr>
        <w:rPr>
          <w:lang w:val="pl-PL"/>
        </w:rPr>
      </w:pPr>
      <w:r w:rsidRPr="00767038">
        <w:rPr>
          <w:lang w:val="pl-PL"/>
        </w:rPr>
        <w:t xml:space="preserve">Saldo końcowe </w:t>
      </w:r>
      <w:r w:rsidR="00242AEF" w:rsidRPr="00767038">
        <w:rPr>
          <w:lang w:val="pl-PL"/>
        </w:rPr>
        <w:t xml:space="preserve">wypłaca </w:t>
      </w:r>
      <w:r w:rsidRPr="00767038">
        <w:rPr>
          <w:lang w:val="pl-PL"/>
        </w:rPr>
        <w:t xml:space="preserve">się na podstawie wyliczenia w załączniku finansowym </w:t>
      </w:r>
      <w:r w:rsidR="00242AEF" w:rsidRPr="00767038">
        <w:rPr>
          <w:lang w:val="pl-PL"/>
        </w:rPr>
        <w:t>do Raportu końcowego dla programu</w:t>
      </w:r>
      <w:r w:rsidR="005D0B75" w:rsidRPr="00767038">
        <w:rPr>
          <w:lang w:val="pl-PL"/>
        </w:rPr>
        <w:t>,</w:t>
      </w:r>
      <w:r w:rsidRPr="00767038">
        <w:rPr>
          <w:lang w:val="pl-PL"/>
        </w:rPr>
        <w:t xml:space="preserve"> który poświadcza IC i zatwierdza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zgodnie z a</w:t>
      </w:r>
      <w:r w:rsidR="005D0B75" w:rsidRPr="00767038">
        <w:rPr>
          <w:lang w:val="pl-PL"/>
        </w:rPr>
        <w:t>rt. 9.4</w:t>
      </w:r>
      <w:r w:rsidRPr="00767038">
        <w:rPr>
          <w:lang w:val="pl-PL"/>
        </w:rPr>
        <w:t xml:space="preserve"> </w:t>
      </w:r>
      <w:r w:rsidR="005A62D3" w:rsidRPr="00767038">
        <w:rPr>
          <w:lang w:val="pl-PL"/>
        </w:rPr>
        <w:t>Regulacji</w:t>
      </w:r>
      <w:r w:rsidR="005D0B75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Podobnie jak FRO </w:t>
      </w:r>
      <w:r w:rsidR="00242AEF" w:rsidRPr="00767038">
        <w:rPr>
          <w:lang w:val="pl-PL"/>
        </w:rPr>
        <w:t xml:space="preserve">format </w:t>
      </w:r>
      <w:r w:rsidRPr="00767038">
        <w:rPr>
          <w:lang w:val="pl-PL"/>
        </w:rPr>
        <w:t>raport</w:t>
      </w:r>
      <w:r w:rsidR="00242AEF" w:rsidRPr="00767038">
        <w:rPr>
          <w:lang w:val="pl-PL"/>
        </w:rPr>
        <w:t>u</w:t>
      </w:r>
      <w:r w:rsidRPr="00767038">
        <w:rPr>
          <w:lang w:val="pl-PL"/>
        </w:rPr>
        <w:t xml:space="preserve"> </w:t>
      </w:r>
      <w:r w:rsidR="00242AEF" w:rsidRPr="00767038">
        <w:rPr>
          <w:lang w:val="pl-PL"/>
        </w:rPr>
        <w:t>jest</w:t>
      </w:r>
      <w:r w:rsidRPr="00767038">
        <w:rPr>
          <w:lang w:val="pl-PL"/>
        </w:rPr>
        <w:t xml:space="preserve"> dostosow</w:t>
      </w:r>
      <w:r w:rsidR="00242AEF" w:rsidRPr="00767038">
        <w:rPr>
          <w:lang w:val="pl-PL"/>
        </w:rPr>
        <w:t>ywany</w:t>
      </w:r>
      <w:r w:rsidRPr="00767038">
        <w:rPr>
          <w:lang w:val="pl-PL"/>
        </w:rPr>
        <w:t xml:space="preserve"> do specyfi</w:t>
      </w:r>
      <w:r w:rsidR="00242AEF" w:rsidRPr="00767038">
        <w:rPr>
          <w:lang w:val="pl-PL"/>
        </w:rPr>
        <w:t>ki</w:t>
      </w:r>
      <w:r w:rsidRPr="00767038">
        <w:rPr>
          <w:lang w:val="pl-PL"/>
        </w:rPr>
        <w:t xml:space="preserve"> programu</w:t>
      </w:r>
      <w:r w:rsidR="00242AEF" w:rsidRPr="00767038">
        <w:rPr>
          <w:lang w:val="pl-PL"/>
        </w:rPr>
        <w:t xml:space="preserve">, a </w:t>
      </w:r>
      <w:r w:rsidR="00A35E94" w:rsidRPr="00767038">
        <w:rPr>
          <w:lang w:val="pl-PL"/>
        </w:rPr>
        <w:t>przesłanie</w:t>
      </w:r>
      <w:r w:rsidRPr="00767038">
        <w:rPr>
          <w:lang w:val="pl-PL"/>
        </w:rPr>
        <w:t xml:space="preserve"> </w:t>
      </w:r>
      <w:r w:rsidR="00A35E94" w:rsidRPr="00767038">
        <w:rPr>
          <w:lang w:val="pl-PL"/>
        </w:rPr>
        <w:t>raportu przez</w:t>
      </w:r>
      <w:r w:rsidRPr="00767038">
        <w:rPr>
          <w:lang w:val="pl-PL"/>
        </w:rPr>
        <w:t xml:space="preserve"> </w:t>
      </w:r>
      <w:r w:rsidR="00315981" w:rsidRPr="00767038">
        <w:rPr>
          <w:lang w:val="pl-PL"/>
        </w:rPr>
        <w:t>Operator</w:t>
      </w:r>
      <w:r w:rsidR="00242AEF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</w:t>
      </w:r>
      <w:r w:rsidR="00242AEF" w:rsidRPr="00767038">
        <w:rPr>
          <w:lang w:val="pl-PL"/>
        </w:rPr>
        <w:t>oraz</w:t>
      </w:r>
      <w:r w:rsidRPr="00767038">
        <w:rPr>
          <w:lang w:val="pl-PL"/>
        </w:rPr>
        <w:t xml:space="preserve"> poświadcz</w:t>
      </w:r>
      <w:r w:rsidR="00242AEF" w:rsidRPr="00767038">
        <w:rPr>
          <w:lang w:val="pl-PL"/>
        </w:rPr>
        <w:t>enie przez</w:t>
      </w:r>
      <w:r w:rsidRPr="00767038">
        <w:rPr>
          <w:lang w:val="pl-PL"/>
        </w:rPr>
        <w:t xml:space="preserve"> IC </w:t>
      </w:r>
      <w:r w:rsidR="00242AEF" w:rsidRPr="00767038">
        <w:rPr>
          <w:lang w:val="pl-PL"/>
        </w:rPr>
        <w:t>jest dokonywane za pośrednictwem</w:t>
      </w:r>
      <w:r w:rsidRPr="00767038">
        <w:rPr>
          <w:lang w:val="pl-PL"/>
        </w:rPr>
        <w:t xml:space="preserve"> interfejs</w:t>
      </w:r>
      <w:r w:rsidR="00242AEF" w:rsidRPr="00767038">
        <w:rPr>
          <w:lang w:val="pl-PL"/>
        </w:rPr>
        <w:t>u</w:t>
      </w:r>
      <w:r w:rsidRPr="00767038">
        <w:rPr>
          <w:lang w:val="pl-PL"/>
        </w:rPr>
        <w:t xml:space="preserve"> systemu informatycznego</w:t>
      </w:r>
      <w:r w:rsidR="005D0B75" w:rsidRPr="00767038">
        <w:rPr>
          <w:vertAlign w:val="superscript"/>
          <w:lang w:val="pl-PL"/>
        </w:rPr>
        <w:footnoteReference w:id="23"/>
      </w:r>
      <w:r w:rsidR="005D0B75" w:rsidRPr="00767038">
        <w:rPr>
          <w:lang w:val="pl-PL"/>
        </w:rPr>
        <w:t>.</w:t>
      </w:r>
    </w:p>
    <w:p w:rsidR="005D0B75" w:rsidRPr="00767038" w:rsidRDefault="00424613" w:rsidP="00376576">
      <w:pPr>
        <w:rPr>
          <w:lang w:val="pl-PL"/>
        </w:rPr>
      </w:pPr>
      <w:r w:rsidRPr="00767038">
        <w:rPr>
          <w:lang w:val="pl-PL"/>
        </w:rPr>
        <w:t xml:space="preserve">W wyliczeniu salda końcowego uwzględnia się z jednej strony </w:t>
      </w:r>
      <w:r w:rsidR="00A35E94" w:rsidRPr="00767038">
        <w:rPr>
          <w:lang w:val="pl-PL"/>
        </w:rPr>
        <w:t>wszystkie wydatki</w:t>
      </w:r>
      <w:r w:rsidRPr="00767038">
        <w:rPr>
          <w:lang w:val="pl-PL"/>
        </w:rPr>
        <w:t xml:space="preserve"> kwalifikowalne zgłoszone przez </w:t>
      </w:r>
      <w:r w:rsidR="00315981" w:rsidRPr="00767038">
        <w:rPr>
          <w:lang w:val="pl-PL"/>
        </w:rPr>
        <w:t>Operator</w:t>
      </w:r>
      <w:r w:rsidR="00242AEF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, </w:t>
      </w:r>
      <w:r w:rsidR="00242AEF" w:rsidRPr="00767038">
        <w:rPr>
          <w:lang w:val="pl-PL"/>
        </w:rPr>
        <w:t>z uwzględnieniem wszelkich wcześniejszych zwrotów,</w:t>
      </w:r>
      <w:r w:rsidRPr="00767038">
        <w:rPr>
          <w:lang w:val="pl-PL"/>
        </w:rPr>
        <w:t xml:space="preserve"> pomniejszone o następujące kwoty</w:t>
      </w:r>
      <w:r w:rsidR="005D0B75" w:rsidRPr="00767038">
        <w:rPr>
          <w:lang w:val="pl-PL"/>
        </w:rPr>
        <w:t>:</w:t>
      </w:r>
    </w:p>
    <w:p w:rsidR="005D0B75" w:rsidRPr="00767038" w:rsidRDefault="00242AEF" w:rsidP="00242AEF">
      <w:pPr>
        <w:numPr>
          <w:ilvl w:val="0"/>
          <w:numId w:val="11"/>
        </w:numPr>
        <w:contextualSpacing/>
        <w:rPr>
          <w:lang w:val="pl-PL"/>
        </w:rPr>
      </w:pPr>
      <w:r w:rsidRPr="00767038">
        <w:rPr>
          <w:lang w:val="pl-PL"/>
        </w:rPr>
        <w:t>sumę</w:t>
      </w:r>
      <w:r w:rsidR="00424613" w:rsidRPr="00767038">
        <w:rPr>
          <w:lang w:val="pl-PL"/>
        </w:rPr>
        <w:t xml:space="preserve"> zalicz</w:t>
      </w:r>
      <w:r w:rsidRPr="00767038">
        <w:rPr>
          <w:lang w:val="pl-PL"/>
        </w:rPr>
        <w:t>e</w:t>
      </w:r>
      <w:r w:rsidR="00424613" w:rsidRPr="00767038">
        <w:rPr>
          <w:lang w:val="pl-PL"/>
        </w:rPr>
        <w:t>k i płatności okresow</w:t>
      </w:r>
      <w:r w:rsidRPr="00767038">
        <w:rPr>
          <w:lang w:val="pl-PL"/>
        </w:rPr>
        <w:t>ych</w:t>
      </w:r>
      <w:r w:rsidR="00424613" w:rsidRPr="00767038">
        <w:rPr>
          <w:lang w:val="pl-PL"/>
        </w:rPr>
        <w:t xml:space="preserve"> </w:t>
      </w:r>
      <w:r w:rsidRPr="00767038">
        <w:rPr>
          <w:lang w:val="pl-PL"/>
        </w:rPr>
        <w:t>wypłaconych w ramach</w:t>
      </w:r>
      <w:r w:rsidR="00424613" w:rsidRPr="00767038">
        <w:rPr>
          <w:lang w:val="pl-PL"/>
        </w:rPr>
        <w:t xml:space="preserve"> program</w:t>
      </w:r>
      <w:r w:rsidRPr="00767038">
        <w:rPr>
          <w:lang w:val="pl-PL"/>
        </w:rPr>
        <w:t>u</w:t>
      </w:r>
      <w:r w:rsidR="00424613" w:rsidRPr="00767038">
        <w:rPr>
          <w:lang w:val="pl-PL"/>
        </w:rPr>
        <w:t xml:space="preserve"> </w:t>
      </w:r>
      <w:r w:rsidRPr="00767038">
        <w:rPr>
          <w:lang w:val="pl-PL"/>
        </w:rPr>
        <w:t>przez</w:t>
      </w:r>
      <w:r w:rsidR="00424613" w:rsidRPr="00767038">
        <w:rPr>
          <w:lang w:val="pl-PL"/>
        </w:rPr>
        <w:t xml:space="preserve"> KMF/</w:t>
      </w:r>
      <w:r w:rsidR="00C604D9" w:rsidRPr="00767038">
        <w:rPr>
          <w:lang w:val="pl-PL"/>
        </w:rPr>
        <w:t>NMSZ</w:t>
      </w:r>
      <w:r w:rsidR="003146B8" w:rsidRPr="00767038">
        <w:rPr>
          <w:lang w:val="pl-PL"/>
        </w:rPr>
        <w:t>;</w:t>
      </w:r>
    </w:p>
    <w:p w:rsidR="005D0B75" w:rsidRPr="00767038" w:rsidRDefault="00242AEF" w:rsidP="00242AEF">
      <w:pPr>
        <w:numPr>
          <w:ilvl w:val="0"/>
          <w:numId w:val="11"/>
        </w:numPr>
        <w:contextualSpacing/>
        <w:rPr>
          <w:lang w:val="pl-PL"/>
        </w:rPr>
      </w:pPr>
      <w:r w:rsidRPr="00767038">
        <w:rPr>
          <w:lang w:val="pl-PL"/>
        </w:rPr>
        <w:t>jakiekolwiek dodatkowe środki</w:t>
      </w:r>
      <w:r w:rsidR="00424613" w:rsidRPr="00767038">
        <w:rPr>
          <w:lang w:val="pl-PL"/>
        </w:rPr>
        <w:t xml:space="preserve"> ze źródeł innych niż Mechanizm Finansowy EOG i Norweski Mechanizm Finansowy na lata </w:t>
      </w:r>
      <w:r w:rsidR="003146B8" w:rsidRPr="00767038">
        <w:rPr>
          <w:lang w:val="pl-PL"/>
        </w:rPr>
        <w:t>2014-2021;</w:t>
      </w:r>
    </w:p>
    <w:p w:rsidR="005D0B75" w:rsidRPr="00767038" w:rsidRDefault="00242AEF" w:rsidP="00242AEF">
      <w:pPr>
        <w:numPr>
          <w:ilvl w:val="0"/>
          <w:numId w:val="11"/>
        </w:numPr>
        <w:contextualSpacing/>
        <w:rPr>
          <w:lang w:val="pl-PL"/>
        </w:rPr>
      </w:pPr>
      <w:r w:rsidRPr="00767038">
        <w:rPr>
          <w:lang w:val="pl-PL"/>
        </w:rPr>
        <w:t>sumę</w:t>
      </w:r>
      <w:r w:rsidR="00424613" w:rsidRPr="00767038">
        <w:rPr>
          <w:lang w:val="pl-PL"/>
        </w:rPr>
        <w:t xml:space="preserve"> odset</w:t>
      </w:r>
      <w:r w:rsidRPr="00767038">
        <w:rPr>
          <w:lang w:val="pl-PL"/>
        </w:rPr>
        <w:t>e</w:t>
      </w:r>
      <w:r w:rsidR="00424613" w:rsidRPr="00767038">
        <w:rPr>
          <w:lang w:val="pl-PL"/>
        </w:rPr>
        <w:t xml:space="preserve">k </w:t>
      </w:r>
      <w:r w:rsidRPr="00767038">
        <w:rPr>
          <w:lang w:val="pl-PL"/>
        </w:rPr>
        <w:t>wygenerowanych</w:t>
      </w:r>
      <w:r w:rsidR="00424613" w:rsidRPr="00767038">
        <w:rPr>
          <w:lang w:val="pl-PL"/>
        </w:rPr>
        <w:t xml:space="preserve"> do dnia </w:t>
      </w:r>
      <w:r w:rsidRPr="00767038">
        <w:rPr>
          <w:lang w:val="pl-PL"/>
        </w:rPr>
        <w:t>złożenia Raportu końcowego dla programu</w:t>
      </w:r>
      <w:r w:rsidR="00424613" w:rsidRPr="00767038">
        <w:rPr>
          <w:lang w:val="pl-PL"/>
        </w:rPr>
        <w:t xml:space="preserve">; </w:t>
      </w:r>
      <w:r w:rsidRPr="00767038">
        <w:rPr>
          <w:lang w:val="pl-PL"/>
        </w:rPr>
        <w:t>oraz</w:t>
      </w:r>
    </w:p>
    <w:p w:rsidR="005D0B75" w:rsidRPr="00767038" w:rsidRDefault="00424613" w:rsidP="00242AEF">
      <w:pPr>
        <w:numPr>
          <w:ilvl w:val="0"/>
          <w:numId w:val="11"/>
        </w:numPr>
        <w:contextualSpacing/>
        <w:rPr>
          <w:lang w:val="pl-PL"/>
        </w:rPr>
      </w:pPr>
      <w:r w:rsidRPr="00767038">
        <w:rPr>
          <w:lang w:val="pl-PL"/>
        </w:rPr>
        <w:t xml:space="preserve">wszelkie </w:t>
      </w:r>
      <w:r w:rsidR="00242AEF" w:rsidRPr="00767038">
        <w:rPr>
          <w:lang w:val="pl-PL"/>
        </w:rPr>
        <w:t>środki</w:t>
      </w:r>
      <w:r w:rsidRPr="00767038">
        <w:rPr>
          <w:lang w:val="pl-PL"/>
        </w:rPr>
        <w:t xml:space="preserve"> zwrócone przez </w:t>
      </w:r>
      <w:r w:rsidR="00AC25C8" w:rsidRPr="00767038">
        <w:rPr>
          <w:lang w:val="pl-PL"/>
        </w:rPr>
        <w:t>beneficjent</w:t>
      </w:r>
      <w:r w:rsidR="00242AEF" w:rsidRPr="00767038">
        <w:rPr>
          <w:lang w:val="pl-PL"/>
        </w:rPr>
        <w:t>ów</w:t>
      </w:r>
      <w:r w:rsidRPr="00767038">
        <w:rPr>
          <w:lang w:val="pl-PL"/>
        </w:rPr>
        <w:t xml:space="preserve"> na rzecz </w:t>
      </w:r>
      <w:r w:rsidR="00315981" w:rsidRPr="00767038">
        <w:rPr>
          <w:lang w:val="pl-PL"/>
        </w:rPr>
        <w:t>Operator</w:t>
      </w:r>
      <w:r w:rsidR="00242AEF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>, któr</w:t>
      </w:r>
      <w:r w:rsidR="00242AEF" w:rsidRPr="00767038">
        <w:rPr>
          <w:lang w:val="pl-PL"/>
        </w:rPr>
        <w:t>ych</w:t>
      </w:r>
      <w:r w:rsidRPr="00767038">
        <w:rPr>
          <w:lang w:val="pl-PL"/>
        </w:rPr>
        <w:t xml:space="preserve"> nie </w:t>
      </w:r>
      <w:r w:rsidR="00242AEF" w:rsidRPr="00767038">
        <w:rPr>
          <w:lang w:val="pl-PL"/>
        </w:rPr>
        <w:t>wpłacono na rzecz</w:t>
      </w:r>
      <w:r w:rsidRPr="00767038">
        <w:rPr>
          <w:lang w:val="pl-PL"/>
        </w:rPr>
        <w:t xml:space="preserve"> pozostał</w:t>
      </w:r>
      <w:r w:rsidR="00242AEF" w:rsidRPr="00767038">
        <w:rPr>
          <w:lang w:val="pl-PL"/>
        </w:rPr>
        <w:t>ych</w:t>
      </w:r>
      <w:r w:rsidRPr="00767038">
        <w:rPr>
          <w:lang w:val="pl-PL"/>
        </w:rPr>
        <w:t xml:space="preserve"> projekt</w:t>
      </w:r>
      <w:r w:rsidR="00242AEF" w:rsidRPr="00767038">
        <w:rPr>
          <w:lang w:val="pl-PL"/>
        </w:rPr>
        <w:t>ów</w:t>
      </w:r>
      <w:r w:rsidRPr="00767038">
        <w:rPr>
          <w:lang w:val="pl-PL"/>
        </w:rPr>
        <w:t xml:space="preserve"> lub </w:t>
      </w:r>
      <w:r w:rsidR="00A35E94" w:rsidRPr="00767038">
        <w:rPr>
          <w:lang w:val="pl-PL"/>
        </w:rPr>
        <w:t>zwrócono do</w:t>
      </w:r>
      <w:r w:rsidR="00A35E94">
        <w:rPr>
          <w:lang w:val="pl-PL"/>
        </w:rPr>
        <w:t xml:space="preserve"> </w:t>
      </w:r>
      <w:r w:rsidR="00A35E94" w:rsidRPr="00767038">
        <w:rPr>
          <w:lang w:val="pl-PL"/>
        </w:rPr>
        <w:t>KMF</w:t>
      </w:r>
      <w:r w:rsidRPr="00767038">
        <w:rPr>
          <w:lang w:val="pl-PL"/>
        </w:rPr>
        <w:t>/</w:t>
      </w:r>
      <w:r w:rsidR="00C604D9" w:rsidRPr="00767038">
        <w:rPr>
          <w:lang w:val="pl-PL"/>
        </w:rPr>
        <w:t>NMSZ</w:t>
      </w:r>
      <w:r w:rsidR="003146B8" w:rsidRPr="00767038">
        <w:rPr>
          <w:lang w:val="pl-PL"/>
        </w:rPr>
        <w:t>.</w:t>
      </w:r>
      <w:r w:rsidRPr="00767038">
        <w:rPr>
          <w:lang w:val="pl-PL"/>
        </w:rPr>
        <w:t xml:space="preserve"> Kwoty odzyskane od </w:t>
      </w:r>
      <w:r w:rsidR="00AC25C8" w:rsidRPr="00767038">
        <w:rPr>
          <w:lang w:val="pl-PL"/>
        </w:rPr>
        <w:t>beneficjent</w:t>
      </w:r>
      <w:r w:rsidR="00197ED3" w:rsidRPr="00767038">
        <w:rPr>
          <w:lang w:val="pl-PL"/>
        </w:rPr>
        <w:t>ów</w:t>
      </w:r>
      <w:r w:rsidRPr="00767038">
        <w:rPr>
          <w:lang w:val="pl-PL"/>
        </w:rPr>
        <w:t xml:space="preserve"> należy uwzględnić i </w:t>
      </w:r>
      <w:r w:rsidR="009145F5" w:rsidRPr="00767038">
        <w:rPr>
          <w:lang w:val="pl-PL"/>
        </w:rPr>
        <w:t xml:space="preserve">zarejestrować albo w </w:t>
      </w:r>
      <w:r w:rsidR="00197ED3" w:rsidRPr="00767038">
        <w:rPr>
          <w:lang w:val="pl-PL"/>
        </w:rPr>
        <w:t>F</w:t>
      </w:r>
      <w:r w:rsidR="009145F5" w:rsidRPr="00767038">
        <w:rPr>
          <w:lang w:val="pl-PL"/>
        </w:rPr>
        <w:t>inansowych raportach okresowych</w:t>
      </w:r>
      <w:r w:rsidR="00197ED3" w:rsidRPr="00767038">
        <w:rPr>
          <w:lang w:val="pl-PL"/>
        </w:rPr>
        <w:t xml:space="preserve"> (FRO)</w:t>
      </w:r>
      <w:r w:rsidR="009145F5" w:rsidRPr="00767038">
        <w:rPr>
          <w:lang w:val="pl-PL"/>
        </w:rPr>
        <w:t xml:space="preserve"> lub saldzie końcowym</w:t>
      </w:r>
      <w:r w:rsidR="003146B8" w:rsidRPr="00767038">
        <w:rPr>
          <w:lang w:val="pl-PL"/>
        </w:rPr>
        <w:t>.</w:t>
      </w:r>
    </w:p>
    <w:p w:rsidR="00C6307D" w:rsidRDefault="00C6307D" w:rsidP="00755E65">
      <w:pPr>
        <w:rPr>
          <w:lang w:val="pl-PL"/>
        </w:rPr>
      </w:pPr>
    </w:p>
    <w:p w:rsidR="005D0B75" w:rsidRDefault="009145F5" w:rsidP="00755E65">
      <w:pPr>
        <w:rPr>
          <w:lang w:val="pl-PL"/>
        </w:rPr>
      </w:pPr>
      <w:r w:rsidRPr="00767038">
        <w:rPr>
          <w:lang w:val="pl-PL"/>
        </w:rPr>
        <w:t xml:space="preserve">Saldo końcowe będzie stanowić albo kwotę </w:t>
      </w:r>
      <w:r w:rsidR="00197ED3" w:rsidRPr="00767038">
        <w:rPr>
          <w:lang w:val="pl-PL"/>
        </w:rPr>
        <w:t xml:space="preserve">pozostałą do wypłacenia </w:t>
      </w:r>
      <w:r w:rsidRPr="00767038">
        <w:rPr>
          <w:lang w:val="pl-PL"/>
        </w:rPr>
        <w:t>przez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na rzecz </w:t>
      </w:r>
      <w:r w:rsidR="00315981" w:rsidRPr="00767038">
        <w:rPr>
          <w:lang w:val="pl-PL"/>
        </w:rPr>
        <w:t>Operator</w:t>
      </w:r>
      <w:r w:rsidR="00197ED3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, albo kwotę </w:t>
      </w:r>
      <w:r w:rsidR="00197ED3" w:rsidRPr="00767038">
        <w:rPr>
          <w:lang w:val="pl-PL"/>
        </w:rPr>
        <w:t>pozostałą do wypłacenia</w:t>
      </w:r>
      <w:r w:rsidRPr="00767038">
        <w:rPr>
          <w:lang w:val="pl-PL"/>
        </w:rPr>
        <w:t xml:space="preserve"> przez </w:t>
      </w:r>
      <w:r w:rsidR="00315981" w:rsidRPr="00767038">
        <w:rPr>
          <w:lang w:val="pl-PL"/>
        </w:rPr>
        <w:t>Operator</w:t>
      </w:r>
      <w:r w:rsidR="00197ED3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na rzecz KMF/</w:t>
      </w:r>
      <w:r w:rsidR="00C604D9" w:rsidRPr="00767038">
        <w:rPr>
          <w:lang w:val="pl-PL"/>
        </w:rPr>
        <w:t>NMSZ</w:t>
      </w:r>
      <w:r w:rsidR="005D0B75" w:rsidRPr="00767038">
        <w:rPr>
          <w:lang w:val="pl-PL"/>
        </w:rPr>
        <w:t>.</w:t>
      </w:r>
      <w:r w:rsidRPr="00767038">
        <w:rPr>
          <w:lang w:val="pl-PL"/>
        </w:rPr>
        <w:t xml:space="preserve"> Saldo końcowe </w:t>
      </w:r>
      <w:r w:rsidR="00197ED3" w:rsidRPr="00767038">
        <w:rPr>
          <w:lang w:val="pl-PL"/>
        </w:rPr>
        <w:t xml:space="preserve">pozostałe do wypłacenia </w:t>
      </w:r>
      <w:r w:rsidRPr="00767038">
        <w:rPr>
          <w:lang w:val="pl-PL"/>
        </w:rPr>
        <w:t xml:space="preserve">na rzecz </w:t>
      </w:r>
      <w:r w:rsidR="00315981" w:rsidRPr="00767038">
        <w:rPr>
          <w:lang w:val="pl-PL"/>
        </w:rPr>
        <w:t>Operator</w:t>
      </w:r>
      <w:r w:rsidR="00197ED3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lub KMF/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przekazuje/wypłaca się nie później niż w ciągu jednego miesiąca od zatwierdzenia </w:t>
      </w:r>
      <w:r w:rsidR="00197ED3" w:rsidRPr="00767038">
        <w:rPr>
          <w:lang w:val="pl-PL"/>
        </w:rPr>
        <w:t>Raportu końcowego dla programu</w:t>
      </w:r>
      <w:r w:rsidR="005D0B75" w:rsidRPr="00767038">
        <w:rPr>
          <w:lang w:val="pl-PL"/>
        </w:rPr>
        <w:t>.</w:t>
      </w:r>
      <w:r w:rsidRPr="00767038">
        <w:rPr>
          <w:lang w:val="pl-PL"/>
        </w:rPr>
        <w:t xml:space="preserve"> </w:t>
      </w:r>
      <w:r w:rsidR="00197ED3" w:rsidRPr="00767038">
        <w:rPr>
          <w:lang w:val="pl-PL"/>
        </w:rPr>
        <w:t>Wszelkie o</w:t>
      </w:r>
      <w:r w:rsidRPr="00767038">
        <w:rPr>
          <w:lang w:val="pl-PL"/>
        </w:rPr>
        <w:t xml:space="preserve">dsetki </w:t>
      </w:r>
      <w:r w:rsidR="00197ED3" w:rsidRPr="00767038">
        <w:rPr>
          <w:lang w:val="pl-PL"/>
        </w:rPr>
        <w:t>naliczone</w:t>
      </w:r>
      <w:r w:rsidRPr="00767038">
        <w:rPr>
          <w:lang w:val="pl-PL"/>
        </w:rPr>
        <w:t xml:space="preserve"> na </w:t>
      </w:r>
      <w:r w:rsidR="00197ED3" w:rsidRPr="00767038">
        <w:rPr>
          <w:lang w:val="pl-PL"/>
        </w:rPr>
        <w:t xml:space="preserve">koncie </w:t>
      </w:r>
      <w:r w:rsidRPr="00767038">
        <w:rPr>
          <w:lang w:val="pl-PL"/>
        </w:rPr>
        <w:t xml:space="preserve">bankowym </w:t>
      </w:r>
      <w:r w:rsidR="00315981" w:rsidRPr="00767038">
        <w:rPr>
          <w:lang w:val="pl-PL"/>
        </w:rPr>
        <w:t>Operator</w:t>
      </w:r>
      <w:r w:rsidR="00197ED3" w:rsidRPr="00767038">
        <w:rPr>
          <w:lang w:val="pl-PL"/>
        </w:rPr>
        <w:t>a</w:t>
      </w:r>
      <w:r w:rsidR="00315981" w:rsidRPr="00767038">
        <w:rPr>
          <w:lang w:val="pl-PL"/>
        </w:rPr>
        <w:t xml:space="preserve"> Programu</w:t>
      </w:r>
      <w:r w:rsidRPr="00767038">
        <w:rPr>
          <w:lang w:val="pl-PL"/>
        </w:rPr>
        <w:t xml:space="preserve"> między datą </w:t>
      </w:r>
      <w:r w:rsidR="00197ED3" w:rsidRPr="00767038">
        <w:rPr>
          <w:lang w:val="pl-PL"/>
        </w:rPr>
        <w:t>Raportu końcowego dla programu</w:t>
      </w:r>
      <w:r w:rsidRPr="00767038">
        <w:rPr>
          <w:lang w:val="pl-PL"/>
        </w:rPr>
        <w:t xml:space="preserve"> i datą </w:t>
      </w:r>
      <w:r w:rsidR="00197ED3" w:rsidRPr="00767038">
        <w:rPr>
          <w:lang w:val="pl-PL"/>
        </w:rPr>
        <w:t xml:space="preserve">zwrotu, </w:t>
      </w:r>
      <w:r w:rsidRPr="00767038">
        <w:rPr>
          <w:lang w:val="pl-PL"/>
        </w:rPr>
        <w:t>uwzględnia się w wypłacie</w:t>
      </w:r>
      <w:r w:rsidR="00C6307D">
        <w:rPr>
          <w:lang w:val="pl-PL"/>
        </w:rPr>
        <w:t xml:space="preserve">. </w:t>
      </w:r>
      <w:r w:rsidRPr="00767038">
        <w:rPr>
          <w:lang w:val="pl-PL"/>
        </w:rPr>
        <w:t xml:space="preserve">Sprawozdanie </w:t>
      </w:r>
      <w:r w:rsidR="00197ED3" w:rsidRPr="00767038">
        <w:rPr>
          <w:lang w:val="pl-PL"/>
        </w:rPr>
        <w:t xml:space="preserve">z </w:t>
      </w:r>
      <w:r w:rsidRPr="00767038">
        <w:rPr>
          <w:lang w:val="pl-PL"/>
        </w:rPr>
        <w:t>rzeczywiście poniesionych wydatków za ostatni okres sprawozdawczy stanowi także część sprawozdania salda końcowego</w:t>
      </w:r>
      <w:r w:rsidR="00CC3C4F" w:rsidRPr="00767038">
        <w:rPr>
          <w:lang w:val="pl-PL"/>
        </w:rPr>
        <w:t xml:space="preserve">. </w:t>
      </w:r>
      <w:r w:rsidRPr="00767038">
        <w:rPr>
          <w:lang w:val="pl-PL"/>
        </w:rPr>
        <w:t>W niniejszej sekcji zastosowano standardowy forma</w:t>
      </w:r>
      <w:r w:rsidR="00197ED3" w:rsidRPr="00767038">
        <w:rPr>
          <w:lang w:val="pl-PL"/>
        </w:rPr>
        <w:t>t</w:t>
      </w:r>
      <w:r w:rsidRPr="00767038">
        <w:rPr>
          <w:lang w:val="pl-PL"/>
        </w:rPr>
        <w:t xml:space="preserve"> </w:t>
      </w:r>
      <w:r w:rsidR="00197ED3" w:rsidRPr="00767038">
        <w:rPr>
          <w:lang w:val="pl-PL"/>
        </w:rPr>
        <w:t>odpowiedniej</w:t>
      </w:r>
      <w:r w:rsidRPr="00767038">
        <w:rPr>
          <w:lang w:val="pl-PL"/>
        </w:rPr>
        <w:t xml:space="preserve"> sekcji FRO</w:t>
      </w:r>
      <w:r w:rsidR="00CC3C4F" w:rsidRPr="00767038">
        <w:rPr>
          <w:lang w:val="pl-PL"/>
        </w:rPr>
        <w:t>.</w:t>
      </w:r>
    </w:p>
    <w:p w:rsidR="00E102F4" w:rsidRPr="00767038" w:rsidRDefault="00FB2938" w:rsidP="00755E65">
      <w:pPr>
        <w:rPr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</wp:posOffset>
                </wp:positionV>
                <wp:extent cx="6040120" cy="5048250"/>
                <wp:effectExtent l="0" t="0" r="17780" b="1905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D7" w:rsidRPr="00AD05CC" w:rsidRDefault="00C522D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Przykład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9"/>
                              <w:gridCol w:w="1209"/>
                              <w:gridCol w:w="1208"/>
                              <w:gridCol w:w="3844"/>
                              <w:gridCol w:w="985"/>
                              <w:gridCol w:w="986"/>
                            </w:tblGrid>
                            <w:tr w:rsidR="00C522D7" w:rsidRPr="00AD05CC" w:rsidTr="00D22BB9">
                              <w:trPr>
                                <w:trHeight w:val="227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szCs w:val="28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szCs w:val="28"/>
                                      <w:lang w:val="pl-PL"/>
                                    </w:rPr>
                                    <w:t xml:space="preserve">Wyliczenie salda końcowego 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szCs w:val="28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szCs w:val="28"/>
                                      <w:lang w:val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szCs w:val="28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szCs w:val="28"/>
                                      <w:lang w:val="pl-P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522D7" w:rsidRPr="00AD05CC" w:rsidTr="0027466E">
                              <w:trPr>
                                <w:trHeight w:val="189"/>
                              </w:trPr>
                              <w:tc>
                                <w:tcPr>
                                  <w:tcW w:w="581" w:type="pc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szCs w:val="28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ind w:firstLineChars="100" w:firstLine="160"/>
                                    <w:jc w:val="right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E9282E">
                              <w:trPr>
                                <w:trHeight w:val="189"/>
                              </w:trPr>
                              <w:tc>
                                <w:tcPr>
                                  <w:tcW w:w="174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Całkowite wydatki kwalifikowalne</w:t>
                                  </w: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1D015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 1.300.000 euro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E9282E">
                              <w:trPr>
                                <w:trHeight w:val="189"/>
                              </w:trPr>
                              <w:tc>
                                <w:tcPr>
                                  <w:tcW w:w="174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Całkowita dostępna kwota dofinansowania</w:t>
                                  </w: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1D015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 1.105.000 euro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E9282E">
                              <w:trPr>
                                <w:trHeight w:val="189"/>
                              </w:trPr>
                              <w:tc>
                                <w:tcPr>
                                  <w:tcW w:w="174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Przyznany poziom dofinansowania w %</w:t>
                                  </w: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ind w:firstLineChars="100" w:firstLine="160"/>
                                    <w:jc w:val="right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Całkowite wydatki kwalifikowalne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37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197E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Całkowite zgłoszone wydatki kwalifikowalne programu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7A15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1.200.000 euro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Pomniejszone o: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37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197E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Suma zaliczek i płatności okresowych z </w:t>
                                  </w:r>
                                  <w:r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BMF</w:t>
                                  </w: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 na program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7A15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850.000 euro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37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9145F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Dofinansowanie ze źródeł innych niż BMF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7A15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 150.000 euro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37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197E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Suma odsetek wygenerowanych do dnia Raportu końcowego dla programu, które nie zostały zwrócone do BMF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200 euro 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455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197E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Środki zwrócone przez beneficjentów na rzecz OP, których nie wypłacono na rzecz pozostałych projektów lub nie zwrócono do BMF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1D015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300 euro 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Saldo końcowe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Całkowite saldo końcowe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199.500 euro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9145F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Udział </w:t>
                                  </w:r>
                                  <w:r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grantu BMF w saldzie końcowym (85%)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9145F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169.575 euro 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ind w:firstLineChars="100" w:firstLine="160"/>
                                    <w:jc w:val="right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9145F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Saldo końcowe płatne na rzecz OP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7A15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199.500 euro</w:t>
                                  </w: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522D7" w:rsidRPr="00503E5D" w:rsidRDefault="00C522D7" w:rsidP="00256489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C522D7" w:rsidRPr="00AD05CC" w:rsidTr="00736096">
                              <w:trPr>
                                <w:trHeight w:val="189"/>
                              </w:trPr>
                              <w:tc>
                                <w:tcPr>
                                  <w:tcW w:w="383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197ED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Cs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>Saldo końcowe płatne na rzecz KMF/NMSZ</w:t>
                                  </w:r>
                                </w:p>
                              </w:tc>
                              <w:tc>
                                <w:tcPr>
                                  <w:tcW w:w="1162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522D7" w:rsidRPr="00503E5D" w:rsidRDefault="00C522D7" w:rsidP="001D015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</w:pPr>
                                  <w:r w:rsidRPr="00503E5D">
                                    <w:rPr>
                                      <w:rFonts w:eastAsia="Times New Roman" w:cs="Arial"/>
                                      <w:sz w:val="16"/>
                                      <w:lang w:val="pl-PL"/>
                                    </w:rPr>
                                    <w:t xml:space="preserve">- </w:t>
                                  </w:r>
                                </w:p>
                              </w:tc>
                            </w:tr>
                          </w:tbl>
                          <w:p w:rsidR="00C522D7" w:rsidRPr="00AD05CC" w:rsidRDefault="00C52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9.75pt;margin-top:4.5pt;width:475.6pt;height:397.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">
                <v:textbox>
                  <w:txbxContent>
                    <w:p w:rsidR="00C522D7" w:rsidRPr="00AD05CC" w:rsidRDefault="00C522D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Przykład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209"/>
                        <w:gridCol w:w="1209"/>
                        <w:gridCol w:w="1208"/>
                        <w:gridCol w:w="3844"/>
                        <w:gridCol w:w="985"/>
                        <w:gridCol w:w="986"/>
                      </w:tblGrid>
                      <w:tr w:rsidR="00C522D7" w:rsidRPr="00AD05CC" w:rsidTr="00D22BB9">
                        <w:trPr>
                          <w:trHeight w:val="227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szCs w:val="28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szCs w:val="28"/>
                                <w:lang w:val="pl-PL"/>
                              </w:rPr>
                              <w:t xml:space="preserve">Wyliczenie salda końcowego 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szCs w:val="28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szCs w:val="28"/>
                                <w:lang w:val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szCs w:val="28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szCs w:val="28"/>
                                <w:lang w:val="pl-PL"/>
                              </w:rPr>
                              <w:t> </w:t>
                            </w:r>
                          </w:p>
                        </w:tc>
                      </w:tr>
                      <w:tr w:rsidR="00C522D7" w:rsidRPr="00AD05CC" w:rsidTr="0027466E">
                        <w:trPr>
                          <w:trHeight w:val="189"/>
                        </w:trPr>
                        <w:tc>
                          <w:tcPr>
                            <w:tcW w:w="581" w:type="pc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szCs w:val="28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ind w:firstLineChars="100" w:firstLine="160"/>
                              <w:jc w:val="right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E9282E">
                        <w:trPr>
                          <w:trHeight w:val="189"/>
                        </w:trPr>
                        <w:tc>
                          <w:tcPr>
                            <w:tcW w:w="174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Całkowite wydatki kwalifikowalne</w:t>
                            </w: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1D015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 1.300.000 euro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E9282E">
                        <w:trPr>
                          <w:trHeight w:val="189"/>
                        </w:trPr>
                        <w:tc>
                          <w:tcPr>
                            <w:tcW w:w="174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Całkowita dostępna kwota dofinansowania</w:t>
                            </w: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1D015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 1.105.000 euro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E9282E">
                        <w:trPr>
                          <w:trHeight w:val="189"/>
                        </w:trPr>
                        <w:tc>
                          <w:tcPr>
                            <w:tcW w:w="174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Przyznany poziom dofinansowania w %</w:t>
                            </w: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ind w:firstLineChars="100" w:firstLine="160"/>
                              <w:jc w:val="right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Całkowite wydatki kwalifikowalne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37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197ED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Całkowite zgłoszone wydatki kwalifikowalne programu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7A150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1.200.000 euro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Pomniejszone o: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37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197ED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Suma zaliczek i płatności okresowych z 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BMF</w:t>
                            </w: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 na program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7A150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850.000 euro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37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9145F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Dofinansowanie ze źródeł innych niż BMF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7A150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 150.000 euro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37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197ED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Suma odsetek wygenerowanych do dnia Raportu końcowego dla programu, które nie zostały zwrócone do BMF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200 euro 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455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197ED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Środki zwrócone przez beneficjentów na rzecz OP, których nie wypłacono na rzecz pozostałych projektów lub nie zwrócono do BMF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1D015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300 euro 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Saldo końcowe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Całkowite saldo końcowe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199.500 euro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9145F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Udział 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grantu BMF w saldzie końcowym (85%)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9145F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169.575 euro 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ind w:firstLineChars="100" w:firstLine="160"/>
                              <w:jc w:val="right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9145F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Saldo końcowe płatne na rzecz OP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7A150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199.500 euro</w:t>
                            </w: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9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522D7" w:rsidRPr="00503E5D" w:rsidRDefault="00C522D7" w:rsidP="00256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C522D7" w:rsidRPr="00AD05CC" w:rsidTr="00736096">
                        <w:trPr>
                          <w:trHeight w:val="189"/>
                        </w:trPr>
                        <w:tc>
                          <w:tcPr>
                            <w:tcW w:w="383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197ED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Cs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>Saldo końcowe płatne na rzecz KMF/NMSZ</w:t>
                            </w:r>
                          </w:p>
                        </w:tc>
                        <w:tc>
                          <w:tcPr>
                            <w:tcW w:w="1162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522D7" w:rsidRPr="00503E5D" w:rsidRDefault="00C522D7" w:rsidP="001D015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</w:pPr>
                            <w:r w:rsidRPr="00503E5D">
                              <w:rPr>
                                <w:rFonts w:eastAsia="Times New Roman" w:cs="Arial"/>
                                <w:sz w:val="16"/>
                                <w:lang w:val="pl-PL"/>
                              </w:rPr>
                              <w:t xml:space="preserve">- </w:t>
                            </w:r>
                          </w:p>
                        </w:tc>
                      </w:tr>
                    </w:tbl>
                    <w:p w:rsidR="00C522D7" w:rsidRPr="00AD05CC" w:rsidRDefault="00C522D7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477DB3" w:rsidRPr="00767038" w:rsidRDefault="009145F5" w:rsidP="00A0039A">
      <w:pPr>
        <w:pStyle w:val="Nagwek2"/>
        <w:rPr>
          <w:lang w:val="pl-PL"/>
        </w:rPr>
      </w:pPr>
      <w:bookmarkStart w:id="116" w:name="_Toc505238525"/>
      <w:r w:rsidRPr="00767038">
        <w:rPr>
          <w:iCs/>
          <w:lang w:val="pl-PL"/>
        </w:rPr>
        <w:t>Deklaracja zamknięcia</w:t>
      </w:r>
      <w:r w:rsidR="0031680F" w:rsidRPr="00767038">
        <w:rPr>
          <w:iCs/>
          <w:lang w:val="pl-PL"/>
        </w:rPr>
        <w:t xml:space="preserve"> (</w:t>
      </w:r>
      <w:r w:rsidRPr="00767038">
        <w:rPr>
          <w:iCs/>
          <w:lang w:val="pl-PL"/>
        </w:rPr>
        <w:t>a</w:t>
      </w:r>
      <w:r w:rsidR="0031680F" w:rsidRPr="00767038">
        <w:rPr>
          <w:iCs/>
          <w:lang w:val="pl-PL"/>
        </w:rPr>
        <w:t>rt 5.5.1</w:t>
      </w:r>
      <w:r w:rsidRPr="00767038">
        <w:rPr>
          <w:iCs/>
          <w:lang w:val="pl-PL"/>
        </w:rPr>
        <w:t xml:space="preserve"> lit.</w:t>
      </w:r>
      <w:r w:rsidR="0031680F" w:rsidRPr="00767038">
        <w:rPr>
          <w:iCs/>
          <w:lang w:val="pl-PL"/>
        </w:rPr>
        <w:t xml:space="preserve"> (f)</w:t>
      </w:r>
      <w:r w:rsidRPr="00767038">
        <w:rPr>
          <w:iCs/>
          <w:lang w:val="pl-PL"/>
        </w:rPr>
        <w:t xml:space="preserve"> </w:t>
      </w:r>
      <w:r w:rsidR="005A62D3" w:rsidRPr="00767038">
        <w:rPr>
          <w:iCs/>
          <w:lang w:val="pl-PL"/>
        </w:rPr>
        <w:t>Regulacji</w:t>
      </w:r>
      <w:r w:rsidR="0031680F" w:rsidRPr="00767038">
        <w:rPr>
          <w:iCs/>
          <w:lang w:val="pl-PL"/>
        </w:rPr>
        <w:t>)</w:t>
      </w:r>
      <w:bookmarkEnd w:id="116"/>
    </w:p>
    <w:p w:rsidR="00477DB3" w:rsidRPr="00767038" w:rsidRDefault="009145F5" w:rsidP="00376576">
      <w:pPr>
        <w:rPr>
          <w:lang w:val="pl-PL"/>
        </w:rPr>
      </w:pPr>
      <w:r w:rsidRPr="00767038">
        <w:rPr>
          <w:lang w:val="pl-PL"/>
        </w:rPr>
        <w:t>IA prześle deklarację zamknięcia wraz z końcowym raportem z audytu do BMF/</w:t>
      </w:r>
      <w:r w:rsidR="00C604D9" w:rsidRPr="00767038">
        <w:rPr>
          <w:lang w:val="pl-PL"/>
        </w:rPr>
        <w:t>NMSZ</w:t>
      </w:r>
      <w:r w:rsidRPr="00767038">
        <w:rPr>
          <w:lang w:val="pl-PL"/>
        </w:rPr>
        <w:t xml:space="preserve"> nie później niż do dnia 31 grudnia 20</w:t>
      </w:r>
      <w:r w:rsidR="00197ED3" w:rsidRPr="00767038">
        <w:rPr>
          <w:lang w:val="pl-PL"/>
        </w:rPr>
        <w:t>2</w:t>
      </w:r>
      <w:r w:rsidRPr="00767038">
        <w:rPr>
          <w:lang w:val="pl-PL"/>
        </w:rPr>
        <w:t>5 r</w:t>
      </w:r>
      <w:r w:rsidR="00477DB3" w:rsidRPr="00767038">
        <w:rPr>
          <w:lang w:val="pl-PL"/>
        </w:rPr>
        <w:t xml:space="preserve">. </w:t>
      </w:r>
      <w:r w:rsidRPr="00767038">
        <w:rPr>
          <w:lang w:val="pl-PL"/>
        </w:rPr>
        <w:t xml:space="preserve">Deklaracja zamknięcia </w:t>
      </w:r>
      <w:r w:rsidR="00DE1D0A" w:rsidRPr="00767038">
        <w:rPr>
          <w:lang w:val="pl-PL"/>
        </w:rPr>
        <w:t xml:space="preserve">stanowi </w:t>
      </w:r>
      <w:r w:rsidR="001528D7" w:rsidRPr="00767038">
        <w:rPr>
          <w:lang w:val="pl-PL"/>
        </w:rPr>
        <w:t xml:space="preserve">uzupełnienie </w:t>
      </w:r>
      <w:r w:rsidR="00DE1D0A" w:rsidRPr="00767038">
        <w:rPr>
          <w:lang w:val="pl-PL"/>
        </w:rPr>
        <w:t xml:space="preserve">końcowego raportu z audytu i stanowi ocenę </w:t>
      </w:r>
      <w:r w:rsidR="001528D7" w:rsidRPr="00767038">
        <w:rPr>
          <w:lang w:val="pl-PL"/>
        </w:rPr>
        <w:t>zasadności</w:t>
      </w:r>
      <w:r w:rsidR="00DE1D0A" w:rsidRPr="00767038">
        <w:rPr>
          <w:lang w:val="pl-PL"/>
        </w:rPr>
        <w:t xml:space="preserve"> wniosku o płatność salda końcowego, </w:t>
      </w:r>
      <w:r w:rsidR="001528D7" w:rsidRPr="00767038">
        <w:rPr>
          <w:lang w:val="pl-PL"/>
        </w:rPr>
        <w:t>zgłaszanego w Raporcie końcowym dla programu</w:t>
      </w:r>
      <w:r w:rsidR="00477DB3" w:rsidRPr="00767038">
        <w:rPr>
          <w:lang w:val="pl-PL"/>
        </w:rPr>
        <w:t>.</w:t>
      </w:r>
    </w:p>
    <w:p w:rsidR="006951DC" w:rsidRPr="00767038" w:rsidRDefault="00DE1D0A" w:rsidP="00376576">
      <w:pPr>
        <w:rPr>
          <w:lang w:val="pl-PL"/>
        </w:rPr>
      </w:pPr>
      <w:r w:rsidRPr="00767038">
        <w:rPr>
          <w:lang w:val="pl-PL"/>
        </w:rPr>
        <w:t>Jako odniesienie można wykorzystać wytyczne Komisji Europejskiej dotyczące funduszy strukturalnych (EFRR, EFS) i Funduszu Spójności w zakresie deklaracji zamknięcia</w:t>
      </w:r>
      <w:r w:rsidR="00A0039A" w:rsidRPr="00767038">
        <w:rPr>
          <w:rStyle w:val="Odwoanieprzypisudolnego"/>
          <w:lang w:val="pl-PL"/>
        </w:rPr>
        <w:footnoteReference w:id="24"/>
      </w:r>
      <w:r w:rsidRPr="00767038">
        <w:rPr>
          <w:lang w:val="pl-PL"/>
        </w:rPr>
        <w:t>.</w:t>
      </w:r>
    </w:p>
    <w:p w:rsidR="00497B9D" w:rsidRPr="00767038" w:rsidRDefault="00497B9D" w:rsidP="00E45744">
      <w:pPr>
        <w:pStyle w:val="Nagwek1"/>
        <w:rPr>
          <w:lang w:val="pl-PL"/>
        </w:rPr>
      </w:pPr>
      <w:bookmarkStart w:id="117" w:name="_Toc505238526"/>
      <w:r w:rsidRPr="00767038">
        <w:rPr>
          <w:bCs/>
          <w:lang w:val="pl-PL"/>
        </w:rPr>
        <w:lastRenderedPageBreak/>
        <w:t>Załączniki</w:t>
      </w:r>
      <w:bookmarkEnd w:id="117"/>
    </w:p>
    <w:p w:rsidR="00EA0C8C" w:rsidRPr="00767038" w:rsidRDefault="0061777D" w:rsidP="00A0039A">
      <w:pPr>
        <w:pStyle w:val="Nagwek2"/>
        <w:rPr>
          <w:lang w:val="pl-PL"/>
        </w:rPr>
      </w:pPr>
      <w:bookmarkStart w:id="118" w:name="_Toc505238527"/>
      <w:r w:rsidRPr="00767038">
        <w:rPr>
          <w:iCs/>
          <w:lang w:val="pl-PL"/>
        </w:rPr>
        <w:t>Zestawienie terminów kwalifikowalności wydatków</w:t>
      </w:r>
      <w:bookmarkEnd w:id="118"/>
    </w:p>
    <w:tbl>
      <w:tblPr>
        <w:tblStyle w:val="TableGrid1"/>
        <w:tblW w:w="5738" w:type="pct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35"/>
        <w:gridCol w:w="1359"/>
        <w:gridCol w:w="1207"/>
        <w:gridCol w:w="1752"/>
        <w:gridCol w:w="2845"/>
        <w:gridCol w:w="1245"/>
      </w:tblGrid>
      <w:tr w:rsidR="00447321" w:rsidRPr="00767038" w:rsidTr="002E5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3014" w:type="pct"/>
            <w:gridSpan w:val="5"/>
            <w:vAlign w:val="center"/>
          </w:tcPr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</w:p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bCs/>
                <w:sz w:val="16"/>
                <w:lang w:val="pl-PL"/>
              </w:rPr>
              <w:t>Kwalifikowalność</w:t>
            </w:r>
          </w:p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</w:p>
        </w:tc>
        <w:tc>
          <w:tcPr>
            <w:tcW w:w="1494" w:type="pct"/>
            <w:vMerge w:val="restart"/>
            <w:vAlign w:val="center"/>
          </w:tcPr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</w:p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</w:p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bCs/>
                <w:sz w:val="16"/>
                <w:lang w:val="pl-PL"/>
              </w:rPr>
              <w:t>Warunki płatności</w:t>
            </w:r>
          </w:p>
        </w:tc>
        <w:tc>
          <w:tcPr>
            <w:tcW w:w="492" w:type="pct"/>
            <w:vMerge w:val="restart"/>
            <w:vAlign w:val="center"/>
          </w:tcPr>
          <w:p w:rsidR="00A80796" w:rsidRPr="00767038" w:rsidRDefault="00A80796" w:rsidP="002E5F37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</w:p>
          <w:p w:rsidR="00A80796" w:rsidRPr="00767038" w:rsidRDefault="00DE1D0A" w:rsidP="00DE1D0A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bCs/>
                <w:sz w:val="16"/>
                <w:lang w:val="pl-PL"/>
              </w:rPr>
              <w:t>Odniesienie w Wytycznych finansowych</w:t>
            </w:r>
          </w:p>
        </w:tc>
      </w:tr>
      <w:tr w:rsidR="00447321" w:rsidRPr="00767038" w:rsidTr="002E5F37">
        <w:trPr>
          <w:trHeight w:val="224"/>
        </w:trPr>
        <w:tc>
          <w:tcPr>
            <w:tcW w:w="343" w:type="pct"/>
            <w:shd w:val="clear" w:color="auto" w:fill="D9D9D9"/>
            <w:vAlign w:val="center"/>
          </w:tcPr>
          <w:p w:rsidR="00A80796" w:rsidRPr="00767038" w:rsidRDefault="00DE1D0A" w:rsidP="002E5F37">
            <w:pPr>
              <w:jc w:val="center"/>
              <w:rPr>
                <w:rFonts w:eastAsia="Calibri" w:cs="Times New Roman"/>
                <w:b/>
                <w:bCs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Art.</w:t>
            </w:r>
          </w:p>
          <w:p w:rsidR="001528D7" w:rsidRPr="00767038" w:rsidRDefault="001528D7" w:rsidP="002E5F37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Regulacji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A80796" w:rsidRPr="00767038" w:rsidRDefault="00DE1D0A" w:rsidP="002E5F37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Wydatek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A80796" w:rsidRPr="00767038" w:rsidRDefault="00B642BD" w:rsidP="00B642BD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 xml:space="preserve">Data </w:t>
            </w:r>
            <w:r w:rsidR="00DE1D0A"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początkowa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A80796" w:rsidRPr="00767038" w:rsidRDefault="00DE1D0A" w:rsidP="002E5F37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Data końcowa</w:t>
            </w:r>
          </w:p>
        </w:tc>
        <w:tc>
          <w:tcPr>
            <w:tcW w:w="1028" w:type="pct"/>
            <w:shd w:val="clear" w:color="auto" w:fill="D9D9D9"/>
            <w:vAlign w:val="center"/>
          </w:tcPr>
          <w:p w:rsidR="00A80796" w:rsidRPr="00767038" w:rsidRDefault="00DE1D0A" w:rsidP="00DE1D0A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Wyjątek</w:t>
            </w:r>
            <w:r w:rsidR="00A80796"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/</w:t>
            </w: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warunek</w:t>
            </w:r>
          </w:p>
        </w:tc>
        <w:tc>
          <w:tcPr>
            <w:tcW w:w="1494" w:type="pct"/>
            <w:vMerge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  <w:tc>
          <w:tcPr>
            <w:tcW w:w="492" w:type="pct"/>
            <w:vMerge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447321" w:rsidRPr="00767038" w:rsidTr="002E5F37">
        <w:tc>
          <w:tcPr>
            <w:tcW w:w="343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8.11.7</w:t>
            </w:r>
          </w:p>
        </w:tc>
        <w:tc>
          <w:tcPr>
            <w:tcW w:w="616" w:type="pct"/>
          </w:tcPr>
          <w:p w:rsidR="00A80796" w:rsidRPr="00767038" w:rsidRDefault="00DE1D0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Pomoc techniczna</w:t>
            </w:r>
          </w:p>
        </w:tc>
        <w:tc>
          <w:tcPr>
            <w:tcW w:w="548" w:type="pct"/>
          </w:tcPr>
          <w:p w:rsidR="00A80796" w:rsidRPr="00767038" w:rsidRDefault="00FB45BE" w:rsidP="00FB45BE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Dzień złożenia ostatniego podpisu pod </w:t>
            </w:r>
            <w:proofErr w:type="spellStart"/>
            <w:r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(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>w zależności który jest podpisany pierwszy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)</w:t>
            </w:r>
          </w:p>
        </w:tc>
        <w:tc>
          <w:tcPr>
            <w:tcW w:w="479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31 sierpnia 2025 r.</w:t>
            </w:r>
          </w:p>
        </w:tc>
        <w:tc>
          <w:tcPr>
            <w:tcW w:w="1028" w:type="pct"/>
          </w:tcPr>
          <w:p w:rsidR="00A80796" w:rsidRPr="00767038" w:rsidRDefault="00DE1D0A" w:rsidP="00DE1D0A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Wydatki związane z przygotowaniem wdr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Pr="00767038">
              <w:rPr>
                <w:rFonts w:eastAsia="Calibri" w:cs="Times New Roman"/>
                <w:sz w:val="16"/>
                <w:lang w:val="pl-PL"/>
              </w:rPr>
              <w:t>ż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nia MF </w:t>
            </w:r>
            <w:r w:rsidR="004F383D">
              <w:rPr>
                <w:rFonts w:eastAsia="Calibri" w:cs="Times New Roman"/>
                <w:sz w:val="16"/>
                <w:lang w:val="pl-PL"/>
              </w:rPr>
              <w:t>EOG i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4F383D">
              <w:rPr>
                <w:rFonts w:eastAsia="Calibri" w:cs="Times New Roman"/>
                <w:sz w:val="16"/>
                <w:lang w:val="pl-PL"/>
              </w:rPr>
              <w:t>NMF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A35E94">
              <w:rPr>
                <w:rFonts w:eastAsia="Calibri" w:cs="Times New Roman"/>
                <w:sz w:val="16"/>
                <w:lang w:val="pl-PL"/>
              </w:rPr>
              <w:t>na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lata 2014-2021 mogą być kwalifikowaln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>e od daty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po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>wiadomienia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 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 xml:space="preserve">wyznaczeniu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organu odpowiedzialnego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za negocjacje </w:t>
            </w:r>
            <w:proofErr w:type="spellStart"/>
            <w:r w:rsidR="001528D7"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Pr="00767038">
              <w:rPr>
                <w:rFonts w:eastAsia="Calibri" w:cs="Times New Roman"/>
                <w:sz w:val="16"/>
                <w:lang w:val="pl-PL"/>
              </w:rPr>
              <w:t xml:space="preserve"> przez 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>Państwo-Beneficjenta.</w:t>
            </w:r>
          </w:p>
          <w:p w:rsidR="00A80796" w:rsidRPr="00767038" w:rsidRDefault="00DE1D0A" w:rsidP="00DE1D0A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Kwalifikowalność poniesionych wydatków jest zależna od podpisania </w:t>
            </w:r>
            <w:proofErr w:type="spellStart"/>
            <w:r w:rsidR="001528D7"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="00A80796" w:rsidRPr="00767038">
              <w:rPr>
                <w:rFonts w:eastAsia="Calibri" w:cs="Times New Roman"/>
                <w:sz w:val="16"/>
                <w:lang w:val="pl-PL"/>
              </w:rPr>
              <w:t>. (8.11.8)</w:t>
            </w:r>
          </w:p>
        </w:tc>
        <w:tc>
          <w:tcPr>
            <w:tcW w:w="1494" w:type="pct"/>
          </w:tcPr>
          <w:p w:rsidR="00A80796" w:rsidRPr="00767038" w:rsidRDefault="00DE1D0A" w:rsidP="00DE1D0A">
            <w:pPr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Przed dokonaniem pierwszej płatności, KMF/</w:t>
            </w:r>
            <w:r w:rsidR="00C604D9" w:rsidRPr="00767038">
              <w:rPr>
                <w:sz w:val="16"/>
                <w:szCs w:val="16"/>
                <w:lang w:val="pl-PL"/>
              </w:rPr>
              <w:t>NMSZ</w:t>
            </w:r>
            <w:r w:rsidRPr="00767038">
              <w:rPr>
                <w:sz w:val="16"/>
                <w:szCs w:val="16"/>
                <w:lang w:val="pl-PL"/>
              </w:rPr>
              <w:t xml:space="preserve"> określi, czy przedstawiony opis systemów zarządzania i kontroli (SZK) na poziomie krajowym spełnia minimalne wymagania</w:t>
            </w:r>
            <w:r w:rsidR="00A80796" w:rsidRPr="00767038">
              <w:rPr>
                <w:sz w:val="16"/>
                <w:szCs w:val="16"/>
                <w:lang w:val="pl-PL"/>
              </w:rPr>
              <w:t>.</w:t>
            </w:r>
            <w:r w:rsidRPr="00767038">
              <w:rPr>
                <w:sz w:val="16"/>
                <w:szCs w:val="16"/>
                <w:lang w:val="pl-PL"/>
              </w:rPr>
              <w:t xml:space="preserve"> Opis jest wymagany w ciągu sześciu miesięcy od daty podpisania </w:t>
            </w:r>
            <w:proofErr w:type="spellStart"/>
            <w:r w:rsidR="001528D7" w:rsidRPr="00767038">
              <w:rPr>
                <w:sz w:val="16"/>
                <w:szCs w:val="16"/>
                <w:lang w:val="pl-PL"/>
              </w:rPr>
              <w:t>MoU</w:t>
            </w:r>
            <w:proofErr w:type="spellEnd"/>
            <w:r w:rsidR="00A80796" w:rsidRPr="00767038">
              <w:rPr>
                <w:sz w:val="16"/>
                <w:szCs w:val="16"/>
                <w:lang w:val="pl-PL"/>
              </w:rPr>
              <w:t xml:space="preserve">. </w:t>
            </w:r>
          </w:p>
          <w:p w:rsidR="00A80796" w:rsidRPr="00767038" w:rsidRDefault="00A80796" w:rsidP="002E5F37">
            <w:pPr>
              <w:rPr>
                <w:sz w:val="16"/>
                <w:szCs w:val="16"/>
                <w:lang w:val="pl-PL"/>
              </w:rPr>
            </w:pPr>
          </w:p>
          <w:p w:rsidR="00A80796" w:rsidRPr="00767038" w:rsidRDefault="00DE1D0A" w:rsidP="00DE1D0A">
            <w:pPr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 xml:space="preserve">Płatność jest także zależna od podpisania umowy w sprawie </w:t>
            </w:r>
            <w:r w:rsidR="001528D7" w:rsidRPr="00767038">
              <w:rPr>
                <w:sz w:val="16"/>
                <w:szCs w:val="16"/>
                <w:lang w:val="pl-PL"/>
              </w:rPr>
              <w:t>pomocy technicznej</w:t>
            </w:r>
            <w:r w:rsidR="00A80796" w:rsidRPr="00767038">
              <w:rPr>
                <w:sz w:val="16"/>
                <w:szCs w:val="16"/>
                <w:lang w:val="pl-PL"/>
              </w:rPr>
              <w:t>.</w:t>
            </w:r>
          </w:p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  <w:p w:rsidR="00A80796" w:rsidRPr="00767038" w:rsidRDefault="00A80796" w:rsidP="002E5F37">
            <w:pPr>
              <w:rPr>
                <w:rFonts w:eastAsia="Calibri" w:cs="Times New Roman"/>
                <w:color w:val="FF0000"/>
                <w:sz w:val="16"/>
                <w:lang w:val="pl-PL"/>
              </w:rPr>
            </w:pPr>
          </w:p>
        </w:tc>
        <w:tc>
          <w:tcPr>
            <w:tcW w:w="492" w:type="pct"/>
          </w:tcPr>
          <w:p w:rsidR="00A80796" w:rsidRPr="00767038" w:rsidRDefault="00212C8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fldChar w:fldCharType="begin"/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instrText xml:space="preserve"> REF _Ref465347249 \r \h </w:instrText>
            </w:r>
            <w:r w:rsidRPr="00767038">
              <w:rPr>
                <w:rFonts w:eastAsia="Calibri" w:cs="Times New Roman"/>
                <w:sz w:val="16"/>
                <w:lang w:val="pl-PL"/>
              </w:rPr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separate"/>
            </w:r>
            <w:r w:rsidR="00112756" w:rsidRPr="00767038">
              <w:rPr>
                <w:rFonts w:eastAsia="Calibri" w:cs="Times New Roman"/>
                <w:sz w:val="16"/>
                <w:lang w:val="pl-PL"/>
              </w:rPr>
              <w:t>2.3</w:t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end"/>
            </w:r>
          </w:p>
        </w:tc>
      </w:tr>
      <w:tr w:rsidR="00447321" w:rsidRPr="00767038" w:rsidTr="002E5F37">
        <w:tc>
          <w:tcPr>
            <w:tcW w:w="343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4.6.2</w:t>
            </w:r>
          </w:p>
        </w:tc>
        <w:tc>
          <w:tcPr>
            <w:tcW w:w="616" w:type="pct"/>
          </w:tcPr>
          <w:p w:rsidR="00A80796" w:rsidRPr="00767038" w:rsidRDefault="00DE1D0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Fundusz </w:t>
            </w:r>
            <w:r w:rsidR="00CF7749" w:rsidRPr="00767038">
              <w:rPr>
                <w:rFonts w:eastAsia="Calibri" w:cs="Times New Roman"/>
                <w:sz w:val="16"/>
                <w:lang w:val="pl-PL"/>
              </w:rPr>
              <w:t>Współpracy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CF7749" w:rsidRPr="00767038">
              <w:rPr>
                <w:rFonts w:eastAsia="Calibri" w:cs="Times New Roman"/>
                <w:sz w:val="16"/>
                <w:lang w:val="pl-PL"/>
              </w:rPr>
              <w:t>Dwustronnej</w:t>
            </w:r>
          </w:p>
        </w:tc>
        <w:tc>
          <w:tcPr>
            <w:tcW w:w="548" w:type="pct"/>
          </w:tcPr>
          <w:p w:rsidR="00A80796" w:rsidRPr="00767038" w:rsidRDefault="001528D7" w:rsidP="00DE1D0A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Dzień złożenia ostatniego podpisu pod </w:t>
            </w:r>
            <w:proofErr w:type="spellStart"/>
            <w:r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Pr="00767038" w:rsidDel="001528D7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>(w zależności który jest podpisany pierwszy)</w:t>
            </w:r>
          </w:p>
        </w:tc>
        <w:tc>
          <w:tcPr>
            <w:tcW w:w="479" w:type="pct"/>
          </w:tcPr>
          <w:p w:rsidR="00A80796" w:rsidRPr="00767038" w:rsidRDefault="00A80796" w:rsidP="00DE1D0A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30 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>kwietnia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2025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 xml:space="preserve"> r.</w:t>
            </w:r>
          </w:p>
        </w:tc>
        <w:tc>
          <w:tcPr>
            <w:tcW w:w="1028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  <w:tc>
          <w:tcPr>
            <w:tcW w:w="1494" w:type="pct"/>
          </w:tcPr>
          <w:p w:rsidR="00A80796" w:rsidRPr="00767038" w:rsidRDefault="00DE1D0A" w:rsidP="00DE1D0A">
            <w:pPr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Przed dokonaniem pierwszej płatności, KMF/</w:t>
            </w:r>
            <w:r w:rsidR="00C604D9" w:rsidRPr="00767038">
              <w:rPr>
                <w:sz w:val="16"/>
                <w:szCs w:val="16"/>
                <w:lang w:val="pl-PL"/>
              </w:rPr>
              <w:t>NMSZ</w:t>
            </w:r>
            <w:r w:rsidRPr="00767038">
              <w:rPr>
                <w:sz w:val="16"/>
                <w:szCs w:val="16"/>
                <w:lang w:val="pl-PL"/>
              </w:rPr>
              <w:t xml:space="preserve"> określi, czy przedstawiony opis systemów zarządzania i kontroli (SZK) na poziomie krajowym spełnia minimalne wymagania</w:t>
            </w:r>
            <w:r w:rsidR="00A80796" w:rsidRPr="00767038">
              <w:rPr>
                <w:sz w:val="16"/>
                <w:szCs w:val="16"/>
                <w:lang w:val="pl-PL"/>
              </w:rPr>
              <w:t xml:space="preserve">. </w:t>
            </w:r>
            <w:r w:rsidRPr="00767038">
              <w:rPr>
                <w:sz w:val="16"/>
                <w:szCs w:val="16"/>
                <w:lang w:val="pl-PL"/>
              </w:rPr>
              <w:t xml:space="preserve">Opis jest wymagany w ciągu sześciu miesięcy od daty podpisania </w:t>
            </w:r>
            <w:proofErr w:type="spellStart"/>
            <w:r w:rsidR="001528D7" w:rsidRPr="00767038">
              <w:rPr>
                <w:sz w:val="16"/>
                <w:szCs w:val="16"/>
                <w:lang w:val="pl-PL"/>
              </w:rPr>
              <w:t>MoU</w:t>
            </w:r>
            <w:proofErr w:type="spellEnd"/>
            <w:r w:rsidR="00A80796" w:rsidRPr="00767038">
              <w:rPr>
                <w:sz w:val="16"/>
                <w:szCs w:val="16"/>
                <w:lang w:val="pl-PL"/>
              </w:rPr>
              <w:t xml:space="preserve">. </w:t>
            </w:r>
          </w:p>
          <w:p w:rsidR="00A80796" w:rsidRPr="00767038" w:rsidRDefault="00C04821" w:rsidP="00506A1D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Zaliczka po podpisaniu 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 xml:space="preserve">Umowy </w:t>
            </w:r>
            <w:proofErr w:type="spellStart"/>
            <w:r w:rsidR="001528D7" w:rsidRPr="00767038">
              <w:rPr>
                <w:rFonts w:eastAsia="Calibri" w:cs="Times New Roman"/>
                <w:sz w:val="16"/>
                <w:lang w:val="pl-PL"/>
              </w:rPr>
              <w:t>ws</w:t>
            </w:r>
            <w:proofErr w:type="spellEnd"/>
            <w:r w:rsidR="001528D7" w:rsidRPr="00767038">
              <w:rPr>
                <w:rFonts w:eastAsia="Calibri" w:cs="Times New Roman"/>
                <w:sz w:val="16"/>
                <w:lang w:val="pl-PL"/>
              </w:rPr>
              <w:t>. Funduszu Współpracy Dwustronnej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(4.6.3)</w:t>
            </w:r>
          </w:p>
          <w:p w:rsidR="00A80796" w:rsidRPr="00767038" w:rsidRDefault="00C04821" w:rsidP="00C04821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Nadzwyczajnych płatności zaliczkowych można dokonywać przed podpisaniem </w:t>
            </w:r>
            <w:r w:rsidR="001528D7" w:rsidRPr="00767038">
              <w:rPr>
                <w:rFonts w:eastAsia="Calibri" w:cs="Times New Roman"/>
                <w:sz w:val="16"/>
                <w:lang w:val="pl-PL"/>
              </w:rPr>
              <w:t xml:space="preserve">Umowy </w:t>
            </w:r>
            <w:proofErr w:type="spellStart"/>
            <w:r w:rsidR="001528D7" w:rsidRPr="00767038">
              <w:rPr>
                <w:rFonts w:eastAsia="Calibri" w:cs="Times New Roman"/>
                <w:sz w:val="16"/>
                <w:lang w:val="pl-PL"/>
              </w:rPr>
              <w:t>ws</w:t>
            </w:r>
            <w:proofErr w:type="spellEnd"/>
            <w:r w:rsidR="001528D7" w:rsidRPr="00767038">
              <w:rPr>
                <w:rFonts w:eastAsia="Calibri" w:cs="Times New Roman"/>
                <w:sz w:val="16"/>
                <w:lang w:val="pl-PL"/>
              </w:rPr>
              <w:t>. Funduszu Współpracy Dwustronnej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(4.6.3)</w:t>
            </w:r>
            <w:r w:rsidRPr="00767038">
              <w:rPr>
                <w:rFonts w:eastAsia="Calibri" w:cs="Times New Roman"/>
                <w:sz w:val="16"/>
                <w:lang w:val="pl-PL"/>
              </w:rPr>
              <w:t>.</w:t>
            </w:r>
          </w:p>
          <w:p w:rsidR="00A80796" w:rsidRPr="00767038" w:rsidRDefault="00C04821" w:rsidP="00C04821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może </w:t>
            </w:r>
            <w:r w:rsidR="00AD2670" w:rsidRPr="00767038">
              <w:rPr>
                <w:rFonts w:eastAsia="Calibri" w:cs="Times New Roman"/>
                <w:sz w:val="16"/>
                <w:lang w:val="pl-PL"/>
              </w:rPr>
              <w:t>wypłacać zaliczki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bezpośrednio na rzecz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AD267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w kwocie 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nieprzekraczającej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50.000 euro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.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lastRenderedPageBreak/>
              <w:t>Płatności te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Pr="00767038">
              <w:rPr>
                <w:rFonts w:eastAsia="Calibri" w:cs="Times New Roman"/>
                <w:sz w:val="16"/>
                <w:lang w:val="pl-PL"/>
              </w:rPr>
              <w:t>dokon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ywane są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w porozumieniu z KPK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po wyznaczeniu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. (4.6.4)</w:t>
            </w:r>
          </w:p>
          <w:p w:rsidR="00A80796" w:rsidRPr="00767038" w:rsidRDefault="00C04821" w:rsidP="00395644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 wyjątkowych 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sytuacjach </w:t>
            </w:r>
            <w:r w:rsidRPr="00767038">
              <w:rPr>
                <w:rFonts w:eastAsia="Calibri" w:cs="Times New Roman"/>
                <w:sz w:val="16"/>
                <w:lang w:val="pl-PL"/>
              </w:rPr>
              <w:t>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mo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że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w porozumieniu z KPK 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podjąć decyzję o dokonywaniu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płatności z Funduszu </w:t>
            </w:r>
            <w:r w:rsidR="00CF7749" w:rsidRPr="00767038">
              <w:rPr>
                <w:rFonts w:eastAsia="Calibri" w:cs="Times New Roman"/>
                <w:sz w:val="16"/>
                <w:lang w:val="pl-PL"/>
              </w:rPr>
              <w:t>Współpracy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CF7749" w:rsidRPr="00767038">
              <w:rPr>
                <w:rFonts w:eastAsia="Calibri" w:cs="Times New Roman"/>
                <w:sz w:val="16"/>
                <w:lang w:val="pl-PL"/>
              </w:rPr>
              <w:t>Dwustronnej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bezpośrednio 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do beneficjenta </w:t>
            </w:r>
            <w:r w:rsidRPr="00767038">
              <w:rPr>
                <w:rFonts w:eastAsia="Calibri" w:cs="Times New Roman"/>
                <w:sz w:val="16"/>
                <w:lang w:val="pl-PL"/>
              </w:rPr>
              <w:t>końcowego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. (4.6.5)</w:t>
            </w:r>
          </w:p>
        </w:tc>
        <w:tc>
          <w:tcPr>
            <w:tcW w:w="492" w:type="pct"/>
          </w:tcPr>
          <w:p w:rsidR="00A80796" w:rsidRPr="00767038" w:rsidRDefault="00212C8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lastRenderedPageBreak/>
              <w:fldChar w:fldCharType="begin"/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instrText xml:space="preserve"> REF _Ref465347581 \r \h </w:instrText>
            </w:r>
            <w:r w:rsidRPr="00767038">
              <w:rPr>
                <w:rFonts w:eastAsia="Calibri" w:cs="Times New Roman"/>
                <w:sz w:val="16"/>
                <w:lang w:val="pl-PL"/>
              </w:rPr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separate"/>
            </w:r>
            <w:r w:rsidR="00112756" w:rsidRPr="00767038">
              <w:rPr>
                <w:rFonts w:eastAsia="Calibri" w:cs="Times New Roman"/>
                <w:sz w:val="16"/>
                <w:lang w:val="pl-PL"/>
              </w:rPr>
              <w:t>2.5</w:t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end"/>
            </w:r>
          </w:p>
        </w:tc>
      </w:tr>
      <w:tr w:rsidR="00447321" w:rsidRPr="00767038" w:rsidTr="002E5F37">
        <w:tc>
          <w:tcPr>
            <w:tcW w:w="343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lastRenderedPageBreak/>
              <w:t>8.10.1</w:t>
            </w:r>
          </w:p>
        </w:tc>
        <w:tc>
          <w:tcPr>
            <w:tcW w:w="616" w:type="pct"/>
          </w:tcPr>
          <w:p w:rsidR="00A80796" w:rsidRPr="00767038" w:rsidRDefault="00DE1D0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Koszty zarządzania programem</w:t>
            </w:r>
          </w:p>
        </w:tc>
        <w:tc>
          <w:tcPr>
            <w:tcW w:w="548" w:type="pct"/>
          </w:tcPr>
          <w:p w:rsidR="00A80796" w:rsidRPr="00767038" w:rsidRDefault="00DE1D0A" w:rsidP="00DE1D0A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Wyznaczenie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(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podpisanie </w:t>
            </w:r>
            <w:proofErr w:type="spellStart"/>
            <w:r w:rsidR="00395644"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="00A80796" w:rsidRPr="00767038">
              <w:rPr>
                <w:rFonts w:eastAsia="Calibri" w:cs="Times New Roman"/>
                <w:sz w:val="16"/>
                <w:lang w:val="pl-PL"/>
              </w:rPr>
              <w:t>)</w:t>
            </w:r>
          </w:p>
        </w:tc>
        <w:tc>
          <w:tcPr>
            <w:tcW w:w="479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31 grudnia 2024 r.</w:t>
            </w:r>
          </w:p>
        </w:tc>
        <w:tc>
          <w:tcPr>
            <w:tcW w:w="1028" w:type="pct"/>
          </w:tcPr>
          <w:p w:rsidR="00A80796" w:rsidRPr="00767038" w:rsidRDefault="00395644" w:rsidP="00DE1D0A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Uwarunkowane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 xml:space="preserve"> zatwierdzeni</w:t>
            </w:r>
            <w:r w:rsidRPr="00767038">
              <w:rPr>
                <w:rFonts w:eastAsia="Calibri" w:cs="Times New Roman"/>
                <w:sz w:val="16"/>
                <w:lang w:val="pl-PL"/>
              </w:rPr>
              <w:t>em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 xml:space="preserve"> program</w:t>
            </w:r>
            <w:r w:rsidRPr="00767038">
              <w:rPr>
                <w:rFonts w:eastAsia="Calibri" w:cs="Times New Roman"/>
                <w:sz w:val="16"/>
                <w:lang w:val="pl-PL"/>
              </w:rPr>
              <w:t>u</w:t>
            </w:r>
            <w:r w:rsidR="00DE1D0A" w:rsidRPr="00767038">
              <w:rPr>
                <w:rFonts w:eastAsia="Calibri" w:cs="Times New Roman"/>
                <w:sz w:val="16"/>
                <w:lang w:val="pl-PL"/>
              </w:rPr>
              <w:t xml:space="preserve"> przez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(8.10.7)</w:t>
            </w:r>
          </w:p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  <w:tc>
          <w:tcPr>
            <w:tcW w:w="1494" w:type="pct"/>
          </w:tcPr>
          <w:p w:rsidR="00A80796" w:rsidRPr="00767038" w:rsidRDefault="00C04821" w:rsidP="00C04821">
            <w:pPr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Przed dokonaniem pierwszej płatności, KMF/</w:t>
            </w:r>
            <w:r w:rsidR="00C604D9" w:rsidRPr="00767038">
              <w:rPr>
                <w:sz w:val="16"/>
                <w:szCs w:val="16"/>
                <w:lang w:val="pl-PL"/>
              </w:rPr>
              <w:t>NMSZ</w:t>
            </w:r>
            <w:r w:rsidRPr="00767038">
              <w:rPr>
                <w:sz w:val="16"/>
                <w:szCs w:val="16"/>
                <w:lang w:val="pl-PL"/>
              </w:rPr>
              <w:t xml:space="preserve"> określi, czy przedstawiony opis systemów zarządzania i kontroli (SZK) na poziomie krajowym spełnia minimalne wymagania</w:t>
            </w:r>
            <w:r w:rsidR="00A80796" w:rsidRPr="00767038">
              <w:rPr>
                <w:sz w:val="16"/>
                <w:szCs w:val="16"/>
                <w:lang w:val="pl-PL"/>
              </w:rPr>
              <w:t xml:space="preserve">. </w:t>
            </w:r>
            <w:r w:rsidRPr="00767038">
              <w:rPr>
                <w:sz w:val="16"/>
                <w:szCs w:val="16"/>
                <w:lang w:val="pl-PL"/>
              </w:rPr>
              <w:t xml:space="preserve">Opis jest wymagany w ciągu sześciu miesięcy od daty podpisania </w:t>
            </w:r>
            <w:proofErr w:type="spellStart"/>
            <w:r w:rsidR="00395644" w:rsidRPr="00767038">
              <w:rPr>
                <w:sz w:val="16"/>
                <w:szCs w:val="16"/>
                <w:lang w:val="pl-PL"/>
              </w:rPr>
              <w:t>MoU</w:t>
            </w:r>
            <w:proofErr w:type="spellEnd"/>
            <w:r w:rsidR="00A80796" w:rsidRPr="00767038">
              <w:rPr>
                <w:sz w:val="16"/>
                <w:szCs w:val="16"/>
                <w:lang w:val="pl-PL"/>
              </w:rPr>
              <w:t xml:space="preserve">. </w:t>
            </w:r>
          </w:p>
          <w:p w:rsidR="00A80796" w:rsidRPr="00767038" w:rsidRDefault="00447321" w:rsidP="00447321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Przed dokonaniem płatności na 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rzecz </w:t>
            </w:r>
            <w:r w:rsidRPr="00767038">
              <w:rPr>
                <w:rFonts w:eastAsia="Calibri" w:cs="Times New Roman"/>
                <w:sz w:val="16"/>
                <w:lang w:val="pl-PL"/>
              </w:rPr>
              <w:t>program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u,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KPK zawiadamia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 podpisaniu 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Umowy w </w:t>
            </w:r>
            <w:r w:rsidR="00A35E94">
              <w:rPr>
                <w:rFonts w:eastAsia="Calibri" w:cs="Times New Roman"/>
                <w:sz w:val="16"/>
                <w:lang w:val="pl-PL"/>
              </w:rPr>
              <w:t>sp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rawie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 realizacji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programu 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em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. (6.8.5)</w:t>
            </w:r>
          </w:p>
          <w:p w:rsidR="00A80796" w:rsidRPr="00767038" w:rsidRDefault="00447321" w:rsidP="00447321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Nadzwyczajn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 xml:space="preserve">e </w:t>
            </w:r>
            <w:r w:rsidRPr="00767038">
              <w:rPr>
                <w:rFonts w:eastAsia="Calibri" w:cs="Times New Roman"/>
                <w:sz w:val="16"/>
                <w:lang w:val="pl-PL"/>
              </w:rPr>
              <w:t>zaliczk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i na koszty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związan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e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z przygotowaniem program</w:t>
            </w:r>
            <w:r w:rsidR="00395644" w:rsidRPr="00767038">
              <w:rPr>
                <w:rFonts w:eastAsia="Calibri" w:cs="Times New Roman"/>
                <w:sz w:val="16"/>
                <w:lang w:val="pl-PL"/>
              </w:rPr>
              <w:t>u,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w uzasadnionych przypadkach ograniczeń budżetowych i według uznania KMF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. (8.10.8)</w:t>
            </w:r>
          </w:p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  <w:tc>
          <w:tcPr>
            <w:tcW w:w="492" w:type="pct"/>
          </w:tcPr>
          <w:p w:rsidR="00A80796" w:rsidRPr="00767038" w:rsidRDefault="00212C8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fldChar w:fldCharType="begin"/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instrText xml:space="preserve"> REF _Ref465347593 \r \h </w:instrText>
            </w:r>
            <w:r w:rsidRPr="00767038">
              <w:rPr>
                <w:rFonts w:eastAsia="Calibri" w:cs="Times New Roman"/>
                <w:sz w:val="16"/>
                <w:lang w:val="pl-PL"/>
              </w:rPr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separate"/>
            </w:r>
            <w:r w:rsidR="00112756" w:rsidRPr="00767038">
              <w:rPr>
                <w:rFonts w:eastAsia="Calibri" w:cs="Times New Roman"/>
                <w:sz w:val="16"/>
                <w:lang w:val="pl-PL"/>
              </w:rPr>
              <w:t>2.6.1</w:t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end"/>
            </w:r>
          </w:p>
        </w:tc>
      </w:tr>
      <w:tr w:rsidR="00447321" w:rsidRPr="00767038" w:rsidTr="002E5F37">
        <w:tc>
          <w:tcPr>
            <w:tcW w:w="343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8.13</w:t>
            </w:r>
          </w:p>
        </w:tc>
        <w:tc>
          <w:tcPr>
            <w:tcW w:w="616" w:type="pct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Projekt</w:t>
            </w:r>
          </w:p>
        </w:tc>
        <w:tc>
          <w:tcPr>
            <w:tcW w:w="548" w:type="pct"/>
          </w:tcPr>
          <w:p w:rsidR="00A80796" w:rsidRPr="00767038" w:rsidRDefault="00447321" w:rsidP="00E16DD6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Z datą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podjęcia przyznania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przez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 xml:space="preserve">decyzji o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przyznaniu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Pr="00767038">
              <w:rPr>
                <w:rFonts w:eastAsia="Calibri" w:cs="Times New Roman"/>
                <w:sz w:val="16"/>
                <w:lang w:val="pl-PL"/>
              </w:rPr>
              <w:t>dofinansowania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 xml:space="preserve"> dla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projekt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>u</w:t>
            </w:r>
          </w:p>
        </w:tc>
        <w:tc>
          <w:tcPr>
            <w:tcW w:w="479" w:type="pct"/>
          </w:tcPr>
          <w:p w:rsidR="00A80796" w:rsidRPr="00767038" w:rsidRDefault="00A80796" w:rsidP="00A977C0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N</w:t>
            </w:r>
            <w:r w:rsidR="00447321" w:rsidRPr="00767038">
              <w:rPr>
                <w:rFonts w:eastAsia="Calibri" w:cs="Times New Roman"/>
                <w:sz w:val="16"/>
                <w:lang w:val="pl-PL"/>
              </w:rPr>
              <w:t xml:space="preserve">ie później niż 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 xml:space="preserve">rok </w:t>
            </w:r>
            <w:r w:rsidR="00447321" w:rsidRPr="00767038">
              <w:rPr>
                <w:rFonts w:eastAsia="Calibri" w:cs="Times New Roman"/>
                <w:sz w:val="16"/>
                <w:lang w:val="pl-PL"/>
              </w:rPr>
              <w:t>po planow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>anym</w:t>
            </w:r>
            <w:r w:rsidR="00447321" w:rsidRPr="00767038">
              <w:rPr>
                <w:rFonts w:eastAsia="Calibri" w:cs="Times New Roman"/>
                <w:sz w:val="16"/>
                <w:lang w:val="pl-PL"/>
              </w:rPr>
              <w:t xml:space="preserve"> zakończeni</w:t>
            </w:r>
            <w:r w:rsidR="00E16DD6" w:rsidRPr="00767038">
              <w:rPr>
                <w:rFonts w:eastAsia="Calibri" w:cs="Times New Roman"/>
                <w:sz w:val="16"/>
                <w:lang w:val="pl-PL"/>
              </w:rPr>
              <w:t>u</w:t>
            </w:r>
            <w:r w:rsidR="00447321" w:rsidRPr="00767038">
              <w:rPr>
                <w:rFonts w:eastAsia="Calibri" w:cs="Times New Roman"/>
                <w:sz w:val="16"/>
                <w:lang w:val="pl-PL"/>
              </w:rPr>
              <w:t xml:space="preserve"> projektu lub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po 30 kwietnia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2024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 xml:space="preserve"> r.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, 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>w zależności od tego, któr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y z tych terminów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 xml:space="preserve"> jest wcześniejsz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y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>.</w:t>
            </w:r>
          </w:p>
        </w:tc>
        <w:tc>
          <w:tcPr>
            <w:tcW w:w="1028" w:type="pct"/>
          </w:tcPr>
          <w:p w:rsidR="00A80796" w:rsidRPr="00767038" w:rsidRDefault="005A3173" w:rsidP="00A977C0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Późniejsz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dat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początkow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moż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e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 xml:space="preserve">zostać </w:t>
            </w:r>
            <w:r w:rsidRPr="00767038">
              <w:rPr>
                <w:rFonts w:eastAsia="Calibri" w:cs="Times New Roman"/>
                <w:sz w:val="16"/>
                <w:lang w:val="pl-PL"/>
              </w:rPr>
              <w:t>ustal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ona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w 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Umowie w sprawie programu/ Umowie w sprawie realizacji programu/U</w:t>
            </w:r>
            <w:r w:rsidRPr="00767038">
              <w:rPr>
                <w:rFonts w:eastAsia="Calibri" w:cs="Times New Roman"/>
                <w:sz w:val="16"/>
                <w:lang w:val="pl-PL"/>
              </w:rPr>
              <w:t>mowie w sprawie projektu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(8.13.1)</w:t>
            </w:r>
            <w:r w:rsidRPr="00767038">
              <w:rPr>
                <w:rFonts w:eastAsia="Calibri" w:cs="Times New Roman"/>
                <w:sz w:val="16"/>
                <w:lang w:val="pl-PL"/>
              </w:rPr>
              <w:t>.</w:t>
            </w:r>
          </w:p>
        </w:tc>
        <w:tc>
          <w:tcPr>
            <w:tcW w:w="1494" w:type="pct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Przed dokonaniem 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 xml:space="preserve">jakiejkolwiek 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płatności na 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 xml:space="preserve">rzecz </w:t>
            </w:r>
            <w:r w:rsidRPr="00767038">
              <w:rPr>
                <w:rFonts w:eastAsia="Calibri" w:cs="Times New Roman"/>
                <w:sz w:val="16"/>
                <w:lang w:val="pl-PL"/>
              </w:rPr>
              <w:t>program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u,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KPK zawiadamia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 podpisaniu 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Umowy w sprawie realizacji programu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z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A977C0" w:rsidRPr="00767038">
              <w:rPr>
                <w:rFonts w:eastAsia="Calibri" w:cs="Times New Roman"/>
                <w:sz w:val="16"/>
                <w:lang w:val="pl-PL"/>
              </w:rPr>
              <w:t>em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. (6.8.5) </w:t>
            </w:r>
          </w:p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 xml:space="preserve">Płatność na projekt jest także zależna od podpisania </w:t>
            </w:r>
            <w:r w:rsidR="00A977C0" w:rsidRPr="00767038">
              <w:rPr>
                <w:sz w:val="16"/>
                <w:szCs w:val="16"/>
                <w:lang w:val="pl-PL"/>
              </w:rPr>
              <w:t>U</w:t>
            </w:r>
            <w:r w:rsidRPr="00767038">
              <w:rPr>
                <w:sz w:val="16"/>
                <w:szCs w:val="16"/>
                <w:lang w:val="pl-PL"/>
              </w:rPr>
              <w:t>mowy w sprawie projektu.</w:t>
            </w:r>
          </w:p>
        </w:tc>
        <w:tc>
          <w:tcPr>
            <w:tcW w:w="492" w:type="pct"/>
          </w:tcPr>
          <w:p w:rsidR="00A80796" w:rsidRPr="00767038" w:rsidRDefault="00212C8A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fldChar w:fldCharType="begin"/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instrText xml:space="preserve"> REF _Ref461535811 \r \h </w:instrText>
            </w:r>
            <w:r w:rsidRPr="00767038">
              <w:rPr>
                <w:rFonts w:eastAsia="Calibri" w:cs="Times New Roman"/>
                <w:sz w:val="16"/>
                <w:lang w:val="pl-PL"/>
              </w:rPr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separate"/>
            </w:r>
            <w:r w:rsidR="00112756" w:rsidRPr="00767038">
              <w:rPr>
                <w:rFonts w:eastAsia="Calibri" w:cs="Times New Roman"/>
                <w:sz w:val="16"/>
                <w:lang w:val="pl-PL"/>
              </w:rPr>
              <w:t>2.7</w:t>
            </w:r>
            <w:r w:rsidRPr="00767038">
              <w:rPr>
                <w:rFonts w:eastAsia="Calibri" w:cs="Times New Roman"/>
                <w:sz w:val="16"/>
                <w:lang w:val="pl-PL"/>
              </w:rPr>
              <w:fldChar w:fldCharType="end"/>
            </w:r>
          </w:p>
        </w:tc>
      </w:tr>
    </w:tbl>
    <w:p w:rsidR="00D93E97" w:rsidRPr="00767038" w:rsidRDefault="00D93E97">
      <w:pPr>
        <w:rPr>
          <w:lang w:val="pl-PL"/>
        </w:rPr>
      </w:pPr>
      <w:r w:rsidRPr="00767038">
        <w:rPr>
          <w:lang w:val="pl-PL"/>
        </w:rPr>
        <w:br w:type="page"/>
      </w:r>
    </w:p>
    <w:p w:rsidR="00EA0C8C" w:rsidRPr="00767038" w:rsidRDefault="0061777D" w:rsidP="00A0039A">
      <w:pPr>
        <w:pStyle w:val="Nagwek2"/>
        <w:rPr>
          <w:lang w:val="pl-PL"/>
        </w:rPr>
      </w:pPr>
      <w:bookmarkStart w:id="119" w:name="_Toc505238528"/>
      <w:r w:rsidRPr="00767038">
        <w:rPr>
          <w:iCs/>
          <w:lang w:val="pl-PL"/>
        </w:rPr>
        <w:lastRenderedPageBreak/>
        <w:t>Zestawienie terminów przesyłania dokumentów</w:t>
      </w:r>
      <w:bookmarkEnd w:id="119"/>
    </w:p>
    <w:tbl>
      <w:tblPr>
        <w:tblStyle w:val="TableGrid2"/>
        <w:tblW w:w="10552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517"/>
        <w:gridCol w:w="2394"/>
        <w:gridCol w:w="2624"/>
        <w:gridCol w:w="3049"/>
      </w:tblGrid>
      <w:tr w:rsidR="00A80796" w:rsidRPr="007F2584" w:rsidTr="00767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552" w:type="dxa"/>
            <w:gridSpan w:val="5"/>
            <w:vAlign w:val="center"/>
          </w:tcPr>
          <w:p w:rsidR="00A80796" w:rsidRPr="00767038" w:rsidRDefault="005A3173" w:rsidP="005A3173">
            <w:pPr>
              <w:jc w:val="center"/>
              <w:rPr>
                <w:rFonts w:eastAsia="Calibri" w:cs="Times New Roman"/>
                <w:sz w:val="16"/>
                <w:lang w:val="pl-PL"/>
              </w:rPr>
            </w:pPr>
            <w:bookmarkStart w:id="120" w:name="_Ref461618044"/>
            <w:r w:rsidRPr="00767038">
              <w:rPr>
                <w:rFonts w:eastAsia="Calibri" w:cs="Times New Roman"/>
                <w:bCs/>
                <w:sz w:val="16"/>
                <w:lang w:val="pl-PL"/>
              </w:rPr>
              <w:t>Terminy przesyłania dokumentów do KPK/</w:t>
            </w:r>
            <w:r w:rsidR="00C604D9" w:rsidRPr="00767038">
              <w:rPr>
                <w:rFonts w:eastAsia="Calibri" w:cs="Times New Roman"/>
                <w:bCs/>
                <w:sz w:val="16"/>
                <w:lang w:val="pl-PL"/>
              </w:rPr>
              <w:t>NMSZ</w:t>
            </w: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  <w:vAlign w:val="center"/>
          </w:tcPr>
          <w:p w:rsidR="00A80796" w:rsidRPr="00767038" w:rsidRDefault="00A80796" w:rsidP="005A3173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Art</w:t>
            </w:r>
            <w:r w:rsidR="005A3173"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ykuł</w:t>
            </w:r>
          </w:p>
        </w:tc>
        <w:tc>
          <w:tcPr>
            <w:tcW w:w="1517" w:type="dxa"/>
            <w:vAlign w:val="center"/>
          </w:tcPr>
          <w:p w:rsidR="00A80796" w:rsidRPr="00767038" w:rsidRDefault="005A3173" w:rsidP="002E5F37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Podmiot odpowiedzialny</w:t>
            </w:r>
          </w:p>
        </w:tc>
        <w:tc>
          <w:tcPr>
            <w:tcW w:w="2394" w:type="dxa"/>
            <w:vAlign w:val="center"/>
          </w:tcPr>
          <w:p w:rsidR="00A80796" w:rsidRPr="00767038" w:rsidRDefault="00A80796" w:rsidP="005A3173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Do</w:t>
            </w:r>
            <w:r w:rsidR="005A3173"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k</w:t>
            </w: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ument</w:t>
            </w:r>
          </w:p>
        </w:tc>
        <w:tc>
          <w:tcPr>
            <w:tcW w:w="2624" w:type="dxa"/>
            <w:vAlign w:val="center"/>
          </w:tcPr>
          <w:p w:rsidR="00A80796" w:rsidRPr="00767038" w:rsidRDefault="005A3173" w:rsidP="002E5F37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Termin</w:t>
            </w:r>
          </w:p>
        </w:tc>
        <w:tc>
          <w:tcPr>
            <w:tcW w:w="3049" w:type="dxa"/>
            <w:vAlign w:val="center"/>
          </w:tcPr>
          <w:p w:rsidR="00A80796" w:rsidRPr="00767038" w:rsidRDefault="005A3173" w:rsidP="005A3173">
            <w:pPr>
              <w:jc w:val="center"/>
              <w:rPr>
                <w:rFonts w:eastAsia="Calibri" w:cs="Times New Roman"/>
                <w:b/>
                <w:sz w:val="16"/>
                <w:lang w:val="pl-PL"/>
              </w:rPr>
            </w:pP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Uwagi</w:t>
            </w:r>
            <w:r w:rsidR="00A80796"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/</w:t>
            </w:r>
            <w:r w:rsidRPr="00767038">
              <w:rPr>
                <w:rFonts w:eastAsia="Calibri" w:cs="Times New Roman"/>
                <w:b/>
                <w:bCs/>
                <w:sz w:val="16"/>
                <w:lang w:val="pl-PL"/>
              </w:rPr>
              <w:t>Ważne informacje do zapamiętania</w:t>
            </w: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5.7.1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Opis system zarządzania i kontroli (poziom krajowy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)</w:t>
            </w:r>
          </w:p>
        </w:tc>
        <w:tc>
          <w:tcPr>
            <w:tcW w:w="2624" w:type="dxa"/>
          </w:tcPr>
          <w:p w:rsidR="00A80796" w:rsidRPr="00767038" w:rsidRDefault="005A3173" w:rsidP="00AD24BB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 ciągu 6 miesięcy od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dnia złożenia ostatniego </w:t>
            </w:r>
            <w:r w:rsidRPr="00767038">
              <w:rPr>
                <w:rFonts w:eastAsia="Calibri" w:cs="Times New Roman"/>
                <w:sz w:val="16"/>
                <w:lang w:val="pl-PL"/>
              </w:rPr>
              <w:t>podpis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u pod </w:t>
            </w:r>
            <w:proofErr w:type="spellStart"/>
            <w:r w:rsidR="00AD24BB"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</w:p>
        </w:tc>
        <w:tc>
          <w:tcPr>
            <w:tcW w:w="3049" w:type="dxa"/>
          </w:tcPr>
          <w:p w:rsidR="00A80796" w:rsidRPr="00767038" w:rsidRDefault="00DD4237" w:rsidP="00DD4237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Przed dokonaniem pierwszej płatności na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rzecz </w:t>
            </w:r>
            <w:r w:rsidRPr="00767038">
              <w:rPr>
                <w:rFonts w:eastAsia="Calibri" w:cs="Times New Roman"/>
                <w:sz w:val="16"/>
                <w:lang w:val="pl-PL"/>
              </w:rPr>
              <w:t>program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,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pomocy technicznej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lub F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unduszu Wymiany Dwustronnej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określi, czy przesłany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opis </w:t>
            </w:r>
            <w:r w:rsidRPr="00767038">
              <w:rPr>
                <w:rFonts w:eastAsia="Calibri" w:cs="Times New Roman"/>
                <w:sz w:val="16"/>
                <w:lang w:val="pl-PL"/>
              </w:rPr>
              <w:t>SZK spełnia minimalne wymagania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. </w:t>
            </w:r>
          </w:p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6.2.2</w:t>
            </w:r>
          </w:p>
        </w:tc>
        <w:tc>
          <w:tcPr>
            <w:tcW w:w="1517" w:type="dxa"/>
          </w:tcPr>
          <w:p w:rsidR="00A80796" w:rsidRPr="00767038" w:rsidRDefault="00315981" w:rsidP="005A3173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 xml:space="preserve"> p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op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>rzez KPK</w:t>
            </w:r>
          </w:p>
        </w:tc>
        <w:tc>
          <w:tcPr>
            <w:tcW w:w="2394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Koncepcja programu</w:t>
            </w:r>
          </w:p>
        </w:tc>
        <w:tc>
          <w:tcPr>
            <w:tcW w:w="262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 ciągu 6 miesięcy od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dnia 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wyznaczenia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b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6.3.1</w:t>
            </w:r>
          </w:p>
        </w:tc>
        <w:tc>
          <w:tcPr>
            <w:tcW w:w="1517" w:type="dxa"/>
          </w:tcPr>
          <w:p w:rsidR="00A80796" w:rsidRPr="00767038" w:rsidRDefault="005A3173" w:rsidP="005A3173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/</w:t>
            </w:r>
            <w:r w:rsidRPr="00767038">
              <w:rPr>
                <w:rFonts w:eastAsia="Calibri" w:cs="Times New Roman"/>
                <w:sz w:val="16"/>
                <w:lang w:val="pl-PL"/>
              </w:rPr>
              <w:t>BMF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Umowa w sprawie programu</w:t>
            </w:r>
          </w:p>
        </w:tc>
        <w:tc>
          <w:tcPr>
            <w:tcW w:w="2624" w:type="dxa"/>
          </w:tcPr>
          <w:p w:rsidR="00A80796" w:rsidRPr="00767038" w:rsidRDefault="00A80796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W ciągu 6 miesięcy od czasu przedłożenia koncepcji programu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b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6.8.5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Zawiadomienie o podpisaniu umowy w sprawie realizacji programu z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em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</w:p>
        </w:tc>
        <w:tc>
          <w:tcPr>
            <w:tcW w:w="262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Po podpisaniu umowy w sprawie programu</w:t>
            </w:r>
          </w:p>
        </w:tc>
        <w:tc>
          <w:tcPr>
            <w:tcW w:w="3049" w:type="dxa"/>
          </w:tcPr>
          <w:p w:rsidR="00A80796" w:rsidRPr="00767038" w:rsidRDefault="005A3173" w:rsidP="00AD24BB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Przed dokonaniem płatności na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rzecz </w:t>
            </w:r>
            <w:r w:rsidRPr="00767038">
              <w:rPr>
                <w:rFonts w:eastAsia="Calibri" w:cs="Times New Roman"/>
                <w:sz w:val="16"/>
                <w:lang w:val="pl-PL"/>
              </w:rPr>
              <w:t>program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u,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KPK poinformuje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 podpisaniu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 Umowy w sprawie realizacji programu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z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em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.</w:t>
            </w:r>
            <w:r w:rsidR="00A80796" w:rsidRPr="00767038">
              <w:rPr>
                <w:rFonts w:eastAsia="Calibri" w:cs="Times New Roman"/>
                <w:sz w:val="16"/>
                <w:vertAlign w:val="superscript"/>
                <w:lang w:val="pl-PL"/>
              </w:rPr>
              <w:footnoteReference w:id="25"/>
            </w: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4.2.6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DD4237" w:rsidP="00AD24BB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Utworzenie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>Wspólnego Komitetu ds. FWD</w:t>
            </w:r>
          </w:p>
        </w:tc>
        <w:tc>
          <w:tcPr>
            <w:tcW w:w="2624" w:type="dxa"/>
          </w:tcPr>
          <w:p w:rsidR="00A80796" w:rsidRPr="00767038" w:rsidRDefault="00A80796" w:rsidP="00AD24BB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W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 xml:space="preserve"> ciągu dwóch miesięcy od 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momentu złożenia 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ostatniego</w:t>
            </w:r>
            <w:r w:rsidR="00AD24BB" w:rsidRPr="00767038">
              <w:rPr>
                <w:rFonts w:eastAsia="Calibri" w:cs="Times New Roman"/>
                <w:sz w:val="16"/>
                <w:lang w:val="pl-PL"/>
              </w:rPr>
              <w:t xml:space="preserve"> podpisu pod </w:t>
            </w:r>
            <w:proofErr w:type="spellStart"/>
            <w:r w:rsidR="00AD24BB" w:rsidRPr="00767038">
              <w:rPr>
                <w:rFonts w:eastAsia="Calibri" w:cs="Times New Roman"/>
                <w:sz w:val="16"/>
                <w:lang w:val="pl-PL"/>
              </w:rPr>
              <w:t>MoU</w:t>
            </w:r>
            <w:proofErr w:type="spellEnd"/>
            <w:r w:rsidR="00DD4237"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(w zależności który jest podpisany jako ostatni</w:t>
            </w:r>
            <w:r w:rsidR="00A35E94" w:rsidRPr="00767038">
              <w:rPr>
                <w:rFonts w:eastAsia="Calibri" w:cs="Times New Roman"/>
                <w:sz w:val="16"/>
                <w:lang w:val="pl-PL"/>
              </w:rPr>
              <w:t>): skład</w:t>
            </w:r>
            <w:r w:rsidRPr="00767038">
              <w:rPr>
                <w:rFonts w:eastAsia="Calibri" w:cs="Times New Roman"/>
                <w:sz w:val="16"/>
                <w:lang w:val="pl-PL"/>
              </w:rPr>
              <w:t>, rol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>a, funkcjonowanie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b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8.11.6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5A3173" w:rsidP="001925C0">
            <w:pPr>
              <w:jc w:val="left"/>
              <w:rPr>
                <w:rFonts w:eastAsia="Calibri" w:cs="Times New Roman"/>
                <w:sz w:val="16"/>
                <w:szCs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Budżet </w:t>
            </w:r>
            <w:r w:rsidR="001925C0" w:rsidRPr="00767038">
              <w:rPr>
                <w:rFonts w:eastAsia="Calibri" w:cs="Times New Roman"/>
                <w:sz w:val="16"/>
                <w:szCs w:val="16"/>
                <w:lang w:val="pl-PL"/>
              </w:rPr>
              <w:t>pomocy technicznej</w:t>
            </w: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 na cały okres </w:t>
            </w:r>
            <w:r w:rsidR="001925C0" w:rsidRPr="00767038">
              <w:rPr>
                <w:rFonts w:eastAsia="Calibri" w:cs="Times New Roman"/>
                <w:sz w:val="16"/>
                <w:szCs w:val="16"/>
                <w:lang w:val="pl-PL"/>
              </w:rPr>
              <w:t>wdrażania</w:t>
            </w: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>, w tym szczegółowy budżet na pierwszy rok kalendarzowy</w:t>
            </w:r>
            <w:r w:rsidR="00A80796" w:rsidRPr="00767038">
              <w:rPr>
                <w:rFonts w:eastAsia="Calibri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62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szCs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Bezzwłocznie po podpisaniu </w:t>
            </w:r>
            <w:proofErr w:type="spellStart"/>
            <w:r w:rsidR="001925C0" w:rsidRPr="00767038">
              <w:rPr>
                <w:rFonts w:eastAsia="Calibri" w:cs="Times New Roman"/>
                <w:sz w:val="16"/>
                <w:szCs w:val="16"/>
                <w:lang w:val="pl-PL"/>
              </w:rPr>
              <w:t>MoU</w:t>
            </w:r>
            <w:proofErr w:type="spellEnd"/>
          </w:p>
        </w:tc>
        <w:tc>
          <w:tcPr>
            <w:tcW w:w="3049" w:type="dxa"/>
          </w:tcPr>
          <w:p w:rsidR="00A80796" w:rsidRPr="00767038" w:rsidRDefault="00DD4237" w:rsidP="00DD4237">
            <w:pPr>
              <w:rPr>
                <w:rFonts w:eastAsia="Calibri" w:cs="Times New Roman"/>
                <w:sz w:val="16"/>
                <w:szCs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Jeżeli KPK otrzyma wsparcie w zakresie </w:t>
            </w:r>
            <w:r w:rsidR="001925C0" w:rsidRPr="00767038">
              <w:rPr>
                <w:rFonts w:eastAsia="Calibri" w:cs="Times New Roman"/>
                <w:sz w:val="16"/>
                <w:szCs w:val="16"/>
                <w:lang w:val="pl-PL"/>
              </w:rPr>
              <w:t>pomocy technicznej</w:t>
            </w: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 w ramach MF EOG i NMF</w:t>
            </w:r>
            <w:r w:rsidR="00A80796"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, </w:t>
            </w: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przygotuje jeden budżet obejmujący </w:t>
            </w:r>
            <w:r w:rsidR="001925C0" w:rsidRPr="00767038">
              <w:rPr>
                <w:rFonts w:eastAsia="Calibri" w:cs="Times New Roman"/>
                <w:sz w:val="16"/>
                <w:szCs w:val="16"/>
                <w:lang w:val="pl-PL"/>
              </w:rPr>
              <w:t>pomoc techniczną</w:t>
            </w:r>
            <w:r w:rsidRPr="00767038">
              <w:rPr>
                <w:rFonts w:eastAsia="Calibri" w:cs="Times New Roman"/>
                <w:sz w:val="16"/>
                <w:szCs w:val="16"/>
                <w:lang w:val="pl-PL"/>
              </w:rPr>
              <w:t xml:space="preserve"> z obu Mechanizmów</w:t>
            </w:r>
            <w:r w:rsidR="00A80796" w:rsidRPr="00767038">
              <w:rPr>
                <w:rFonts w:eastAsia="Calibri" w:cs="Times New Roman"/>
                <w:sz w:val="16"/>
                <w:szCs w:val="16"/>
                <w:lang w:val="pl-PL"/>
              </w:rPr>
              <w:t>.</w:t>
            </w:r>
          </w:p>
        </w:tc>
      </w:tr>
      <w:tr w:rsidR="00721128" w:rsidRPr="00767038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6.11.2</w:t>
            </w:r>
          </w:p>
        </w:tc>
        <w:tc>
          <w:tcPr>
            <w:tcW w:w="1517" w:type="dxa"/>
          </w:tcPr>
          <w:p w:rsidR="00A80796" w:rsidRPr="00767038" w:rsidRDefault="00315981" w:rsidP="005A3173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</w:p>
        </w:tc>
        <w:tc>
          <w:tcPr>
            <w:tcW w:w="2394" w:type="dxa"/>
          </w:tcPr>
          <w:p w:rsidR="00A80796" w:rsidRPr="00767038" w:rsidRDefault="005A3173" w:rsidP="005A3173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Raport roczny dla programu</w:t>
            </w:r>
          </w:p>
        </w:tc>
        <w:tc>
          <w:tcPr>
            <w:tcW w:w="2624" w:type="dxa"/>
          </w:tcPr>
          <w:p w:rsidR="00A80796" w:rsidRPr="00767038" w:rsidRDefault="00A80796" w:rsidP="005A3173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15 </w:t>
            </w:r>
            <w:r w:rsidR="005A3173" w:rsidRPr="00767038">
              <w:rPr>
                <w:rFonts w:eastAsia="Calibri" w:cs="Times New Roman"/>
                <w:sz w:val="16"/>
                <w:lang w:val="pl-PL"/>
              </w:rPr>
              <w:t>lutego każdego roku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6.12.2</w:t>
            </w:r>
          </w:p>
        </w:tc>
        <w:tc>
          <w:tcPr>
            <w:tcW w:w="1517" w:type="dxa"/>
          </w:tcPr>
          <w:p w:rsidR="00A80796" w:rsidRPr="00767038" w:rsidRDefault="00315981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</w:p>
        </w:tc>
        <w:tc>
          <w:tcPr>
            <w:tcW w:w="2394" w:type="dxa"/>
          </w:tcPr>
          <w:p w:rsidR="00A80796" w:rsidRPr="00767038" w:rsidRDefault="00A80796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Raport końcowy dla programu </w:t>
            </w:r>
          </w:p>
        </w:tc>
        <w:tc>
          <w:tcPr>
            <w:tcW w:w="2624" w:type="dxa"/>
          </w:tcPr>
          <w:p w:rsidR="00A80796" w:rsidRPr="00767038" w:rsidRDefault="00A80796" w:rsidP="00DD4237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30 </w:t>
            </w:r>
            <w:r w:rsidR="00DD4237" w:rsidRPr="00767038">
              <w:rPr>
                <w:rFonts w:eastAsia="Calibri" w:cs="Times New Roman"/>
                <w:sz w:val="16"/>
                <w:lang w:val="pl-PL"/>
              </w:rPr>
              <w:t>kwietnia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2025</w:t>
            </w:r>
            <w:r w:rsidR="00DD4237" w:rsidRPr="00767038">
              <w:rPr>
                <w:rFonts w:eastAsia="Calibri" w:cs="Times New Roman"/>
                <w:sz w:val="16"/>
                <w:lang w:val="pl-PL"/>
              </w:rPr>
              <w:t xml:space="preserve"> r.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(</w:t>
            </w:r>
            <w:r w:rsidR="00DD4237" w:rsidRPr="00767038">
              <w:rPr>
                <w:rFonts w:eastAsia="Calibri" w:cs="Times New Roman"/>
                <w:sz w:val="16"/>
                <w:lang w:val="pl-PL"/>
              </w:rPr>
              <w:t>cztery miesiące po dacie końcowej kwalifikowalności kosztów zarządzania programem</w:t>
            </w:r>
            <w:r w:rsidRPr="00767038">
              <w:rPr>
                <w:rFonts w:eastAsia="Calibri" w:cs="Times New Roman"/>
                <w:sz w:val="16"/>
                <w:lang w:val="pl-PL"/>
              </w:rPr>
              <w:t>)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67038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8.11.10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A80796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Raport końcowy dla programu w zakresie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pomocy technicznej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</w:p>
        </w:tc>
        <w:tc>
          <w:tcPr>
            <w:tcW w:w="2624" w:type="dxa"/>
          </w:tcPr>
          <w:p w:rsidR="00A80796" w:rsidRPr="00767038" w:rsidRDefault="00A80796" w:rsidP="00DD42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15 </w:t>
            </w:r>
            <w:r w:rsidR="00DD4237" w:rsidRPr="00767038">
              <w:rPr>
                <w:rFonts w:eastAsia="Calibri" w:cs="Times New Roman"/>
                <w:sz w:val="16"/>
                <w:lang w:val="pl-PL"/>
              </w:rPr>
              <w:t>listopada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2025</w:t>
            </w:r>
            <w:r w:rsidR="00DD4237" w:rsidRPr="00767038">
              <w:rPr>
                <w:rFonts w:eastAsia="Calibri" w:cs="Times New Roman"/>
                <w:sz w:val="16"/>
                <w:lang w:val="pl-PL"/>
              </w:rPr>
              <w:t xml:space="preserve"> r.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lastRenderedPageBreak/>
              <w:t>2.6.3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Raport roczny strategiczny</w:t>
            </w:r>
          </w:p>
        </w:tc>
        <w:tc>
          <w:tcPr>
            <w:tcW w:w="2624" w:type="dxa"/>
          </w:tcPr>
          <w:p w:rsidR="00A80796" w:rsidRPr="00767038" w:rsidRDefault="00DD4237" w:rsidP="001925C0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Dwa miesiące przed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spotkaniem rocznym</w:t>
            </w:r>
            <w:r w:rsidRPr="00767038">
              <w:rPr>
                <w:rFonts w:eastAsia="Calibri" w:cs="Times New Roman"/>
                <w:sz w:val="16"/>
                <w:lang w:val="pl-PL"/>
              </w:rPr>
              <w:t>, o ile nie uzgodniono inaczej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2.6.4</w:t>
            </w:r>
          </w:p>
        </w:tc>
        <w:tc>
          <w:tcPr>
            <w:tcW w:w="1517" w:type="dxa"/>
          </w:tcPr>
          <w:p w:rsidR="00A80796" w:rsidRPr="00767038" w:rsidRDefault="005A3173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</w:p>
        </w:tc>
        <w:tc>
          <w:tcPr>
            <w:tcW w:w="2394" w:type="dxa"/>
          </w:tcPr>
          <w:p w:rsidR="00A80796" w:rsidRPr="00767038" w:rsidRDefault="005A3173" w:rsidP="005A3173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Końcowy raport strategiczny</w:t>
            </w:r>
          </w:p>
        </w:tc>
        <w:tc>
          <w:tcPr>
            <w:tcW w:w="2624" w:type="dxa"/>
          </w:tcPr>
          <w:p w:rsidR="00A80796" w:rsidRPr="00767038" w:rsidRDefault="00DD4237" w:rsidP="001925C0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 ciągu sześciu miesięcy od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daty przedłożenia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ostatniego raportu końcowego dla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,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ale nie później niż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w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dni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31 sierpnia 2015 r.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67038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7.3.5</w:t>
            </w:r>
          </w:p>
        </w:tc>
        <w:tc>
          <w:tcPr>
            <w:tcW w:w="1517" w:type="dxa"/>
          </w:tcPr>
          <w:p w:rsidR="00A80796" w:rsidRPr="00767038" w:rsidRDefault="00721128" w:rsidP="00721128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KPK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/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</w:p>
        </w:tc>
        <w:tc>
          <w:tcPr>
            <w:tcW w:w="2394" w:type="dxa"/>
          </w:tcPr>
          <w:p w:rsidR="00A80796" w:rsidRPr="00767038" w:rsidRDefault="001925C0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Nabór wniosków</w:t>
            </w:r>
          </w:p>
        </w:tc>
        <w:tc>
          <w:tcPr>
            <w:tcW w:w="2624" w:type="dxa"/>
          </w:tcPr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Dwa tygodnie przed ogłoszeniem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7.4.6</w:t>
            </w:r>
          </w:p>
        </w:tc>
        <w:tc>
          <w:tcPr>
            <w:tcW w:w="1517" w:type="dxa"/>
          </w:tcPr>
          <w:p w:rsidR="00A80796" w:rsidRPr="00767038" w:rsidRDefault="00315981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</w:p>
        </w:tc>
        <w:tc>
          <w:tcPr>
            <w:tcW w:w="2394" w:type="dxa"/>
          </w:tcPr>
          <w:p w:rsidR="00A80796" w:rsidRPr="00767038" w:rsidRDefault="001925C0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Wykaz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wybranych projektów</w:t>
            </w:r>
          </w:p>
        </w:tc>
        <w:tc>
          <w:tcPr>
            <w:tcW w:w="2624" w:type="dxa"/>
          </w:tcPr>
          <w:p w:rsidR="00A80796" w:rsidRPr="00767038" w:rsidRDefault="00A80796" w:rsidP="001925C0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N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ie później niż dwa tygodnie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 xml:space="preserve"> po wydaniu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decyzji o przyznaniu dofinansowania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9.3.4</w:t>
            </w:r>
          </w:p>
        </w:tc>
        <w:tc>
          <w:tcPr>
            <w:tcW w:w="1517" w:type="dxa"/>
          </w:tcPr>
          <w:p w:rsidR="00A80796" w:rsidRPr="00767038" w:rsidRDefault="00315981" w:rsidP="00721128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/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IC</w:t>
            </w:r>
          </w:p>
        </w:tc>
        <w:tc>
          <w:tcPr>
            <w:tcW w:w="2394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FRO</w:t>
            </w:r>
          </w:p>
        </w:tc>
        <w:tc>
          <w:tcPr>
            <w:tcW w:w="2624" w:type="dxa"/>
          </w:tcPr>
          <w:p w:rsidR="00A80796" w:rsidRPr="00767038" w:rsidRDefault="00A80796" w:rsidP="00721128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15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marca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, 15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września</w:t>
            </w:r>
          </w:p>
        </w:tc>
        <w:tc>
          <w:tcPr>
            <w:tcW w:w="3049" w:type="dxa"/>
          </w:tcPr>
          <w:p w:rsidR="00A80796" w:rsidRPr="00767038" w:rsidRDefault="00A80796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P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łatności do 15 kwietnia i 15 października</w:t>
            </w:r>
          </w:p>
        </w:tc>
      </w:tr>
      <w:tr w:rsidR="00721128" w:rsidRPr="00767038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9.5</w:t>
            </w:r>
          </w:p>
        </w:tc>
        <w:tc>
          <w:tcPr>
            <w:tcW w:w="1517" w:type="dxa"/>
          </w:tcPr>
          <w:p w:rsidR="00A80796" w:rsidRPr="00767038" w:rsidRDefault="00315981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/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IC</w:t>
            </w:r>
          </w:p>
        </w:tc>
        <w:tc>
          <w:tcPr>
            <w:tcW w:w="2394" w:type="dxa"/>
          </w:tcPr>
          <w:p w:rsidR="00A80796" w:rsidRPr="00767038" w:rsidRDefault="001925C0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Prognoza dotycząca planowanych przyszłych płatności dla programów</w:t>
            </w:r>
          </w:p>
        </w:tc>
        <w:tc>
          <w:tcPr>
            <w:tcW w:w="2624" w:type="dxa"/>
          </w:tcPr>
          <w:p w:rsidR="00A80796" w:rsidRPr="00767038" w:rsidRDefault="00A80796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20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lutego</w:t>
            </w:r>
            <w:r w:rsidRPr="00767038">
              <w:rPr>
                <w:rFonts w:eastAsia="Calibri" w:cs="Times New Roman"/>
                <w:sz w:val="16"/>
                <w:lang w:val="pl-PL"/>
              </w:rPr>
              <w:t>, 20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kwietnia</w:t>
            </w:r>
            <w:r w:rsidRPr="00767038">
              <w:rPr>
                <w:rFonts w:eastAsia="Calibri" w:cs="Times New Roman"/>
                <w:sz w:val="16"/>
                <w:lang w:val="pl-PL"/>
              </w:rPr>
              <w:t>, 20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września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, 20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listopada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9.4.</w:t>
            </w:r>
          </w:p>
        </w:tc>
        <w:tc>
          <w:tcPr>
            <w:tcW w:w="1517" w:type="dxa"/>
          </w:tcPr>
          <w:p w:rsidR="00A80796" w:rsidRPr="00767038" w:rsidRDefault="00315981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Operator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/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IC</w:t>
            </w:r>
          </w:p>
        </w:tc>
        <w:tc>
          <w:tcPr>
            <w:tcW w:w="2394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Saldo końcowe</w:t>
            </w:r>
          </w:p>
        </w:tc>
        <w:tc>
          <w:tcPr>
            <w:tcW w:w="2624" w:type="dxa"/>
          </w:tcPr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Z raportem końcowym dla programu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(30 </w:t>
            </w:r>
            <w:r w:rsidRPr="00767038">
              <w:rPr>
                <w:rFonts w:eastAsia="Calibri" w:cs="Times New Roman"/>
                <w:sz w:val="16"/>
                <w:lang w:val="pl-PL"/>
              </w:rPr>
              <w:t>kwietnia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 2025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r.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)</w:t>
            </w:r>
          </w:p>
        </w:tc>
        <w:tc>
          <w:tcPr>
            <w:tcW w:w="3049" w:type="dxa"/>
          </w:tcPr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przekazuje saldo końcowe płatne na rzecz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nie później niż w ciągu jednego miesiąca od zatwierdzenia raportu końcowego dla program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u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przez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.</w:t>
            </w:r>
          </w:p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Saldo końcowe płatne na rzecz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zwraca się KMF/</w:t>
            </w:r>
            <w:r w:rsidR="00C604D9" w:rsidRPr="00767038">
              <w:rPr>
                <w:rFonts w:eastAsia="Calibri" w:cs="Times New Roman"/>
                <w:sz w:val="16"/>
                <w:lang w:val="pl-PL"/>
              </w:rPr>
              <w:t>NMSZ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w tym samym terminie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. </w:t>
            </w:r>
          </w:p>
          <w:p w:rsidR="00A80796" w:rsidRPr="00767038" w:rsidRDefault="00A35E94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Odsetki naliczone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na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koncie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bankowym 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>Operator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="00315981" w:rsidRPr="00767038">
              <w:rPr>
                <w:rFonts w:eastAsia="Calibri" w:cs="Times New Roman"/>
                <w:sz w:val="16"/>
                <w:lang w:val="pl-PL"/>
              </w:rPr>
              <w:t xml:space="preserve"> Programu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między datą raportu końcowego dla program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u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i datą zwrotu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,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 xml:space="preserve"> należy uwzględnić w zwrocie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 xml:space="preserve">. </w:t>
            </w:r>
          </w:p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5.5.1 (d)</w:t>
            </w:r>
          </w:p>
        </w:tc>
        <w:tc>
          <w:tcPr>
            <w:tcW w:w="1517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IA</w:t>
            </w:r>
          </w:p>
        </w:tc>
        <w:tc>
          <w:tcPr>
            <w:tcW w:w="2394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Strategia audytu</w:t>
            </w:r>
          </w:p>
        </w:tc>
        <w:tc>
          <w:tcPr>
            <w:tcW w:w="2624" w:type="dxa"/>
          </w:tcPr>
          <w:p w:rsidR="00A80796" w:rsidRPr="00767038" w:rsidRDefault="00721128" w:rsidP="001925C0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Dziewięć miesięcy 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 xml:space="preserve">od momentu </w:t>
            </w:r>
            <w:r w:rsidRPr="00767038">
              <w:rPr>
                <w:rFonts w:eastAsia="Calibri" w:cs="Times New Roman"/>
                <w:sz w:val="16"/>
                <w:lang w:val="pl-PL"/>
              </w:rPr>
              <w:t>zatwierdzeni</w:t>
            </w:r>
            <w:r w:rsidR="001925C0" w:rsidRPr="00767038">
              <w:rPr>
                <w:rFonts w:eastAsia="Calibri" w:cs="Times New Roman"/>
                <w:sz w:val="16"/>
                <w:lang w:val="pl-PL"/>
              </w:rPr>
              <w:t>a</w:t>
            </w:r>
            <w:r w:rsidRPr="00767038">
              <w:rPr>
                <w:rFonts w:eastAsia="Calibri" w:cs="Times New Roman"/>
                <w:sz w:val="16"/>
                <w:lang w:val="pl-PL"/>
              </w:rPr>
              <w:t xml:space="preserve"> ostatniego programu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5.5.1 (e) i</w:t>
            </w:r>
          </w:p>
        </w:tc>
        <w:tc>
          <w:tcPr>
            <w:tcW w:w="1517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IA</w:t>
            </w:r>
          </w:p>
        </w:tc>
        <w:tc>
          <w:tcPr>
            <w:tcW w:w="2394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Raport roczny z audytu</w:t>
            </w:r>
          </w:p>
        </w:tc>
        <w:tc>
          <w:tcPr>
            <w:tcW w:w="2624" w:type="dxa"/>
          </w:tcPr>
          <w:p w:rsidR="00A80796" w:rsidRPr="00767038" w:rsidRDefault="00A80796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15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lutego każdego roku od 2019 do 2025 r.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5.5.1 (e) ii</w:t>
            </w:r>
          </w:p>
        </w:tc>
        <w:tc>
          <w:tcPr>
            <w:tcW w:w="1517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IA</w:t>
            </w:r>
          </w:p>
        </w:tc>
        <w:tc>
          <w:tcPr>
            <w:tcW w:w="2394" w:type="dxa"/>
          </w:tcPr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Opinia z audytu na temat skutecznego funkcjonowania SZK</w:t>
            </w:r>
          </w:p>
        </w:tc>
        <w:tc>
          <w:tcPr>
            <w:tcW w:w="2624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15 </w:t>
            </w:r>
            <w:r w:rsidR="00721128" w:rsidRPr="00767038">
              <w:rPr>
                <w:rFonts w:eastAsia="Calibri" w:cs="Times New Roman"/>
                <w:sz w:val="16"/>
                <w:lang w:val="pl-PL"/>
              </w:rPr>
              <w:t>lutego każdego roku od 2019 do 2025 r.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67038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5.5.1 (f)</w:t>
            </w:r>
          </w:p>
        </w:tc>
        <w:tc>
          <w:tcPr>
            <w:tcW w:w="1517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IA</w:t>
            </w:r>
          </w:p>
        </w:tc>
        <w:tc>
          <w:tcPr>
            <w:tcW w:w="2394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Deklaracja zamknięcia</w:t>
            </w:r>
          </w:p>
        </w:tc>
        <w:tc>
          <w:tcPr>
            <w:tcW w:w="2624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31 grudnia 2025 r.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9.7.2</w:t>
            </w:r>
          </w:p>
        </w:tc>
        <w:tc>
          <w:tcPr>
            <w:tcW w:w="1517" w:type="dxa"/>
          </w:tcPr>
          <w:p w:rsidR="00A80796" w:rsidRPr="00767038" w:rsidRDefault="00721128" w:rsidP="00721128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IC 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(</w:t>
            </w:r>
            <w:r w:rsidRPr="00767038">
              <w:rPr>
                <w:rFonts w:eastAsia="Calibri" w:cs="Times New Roman"/>
                <w:sz w:val="16"/>
                <w:lang w:val="pl-PL"/>
              </w:rPr>
              <w:t>w FRO</w:t>
            </w:r>
            <w:r w:rsidR="00A80796" w:rsidRPr="00767038">
              <w:rPr>
                <w:rFonts w:eastAsia="Calibri" w:cs="Times New Roman"/>
                <w:sz w:val="16"/>
                <w:lang w:val="pl-PL"/>
              </w:rPr>
              <w:t>)</w:t>
            </w:r>
          </w:p>
        </w:tc>
        <w:tc>
          <w:tcPr>
            <w:tcW w:w="2394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Odsetki</w:t>
            </w:r>
          </w:p>
        </w:tc>
        <w:tc>
          <w:tcPr>
            <w:tcW w:w="2624" w:type="dxa"/>
          </w:tcPr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Corocznie z FRO do 15 marca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  <w:tr w:rsidR="00721128" w:rsidRPr="007F2584" w:rsidTr="00767038">
        <w:trPr>
          <w:trHeight w:val="20"/>
        </w:trPr>
        <w:tc>
          <w:tcPr>
            <w:tcW w:w="968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12.5.2</w:t>
            </w:r>
          </w:p>
        </w:tc>
        <w:tc>
          <w:tcPr>
            <w:tcW w:w="1517" w:type="dxa"/>
          </w:tcPr>
          <w:p w:rsidR="00A80796" w:rsidRPr="00767038" w:rsidRDefault="00721128" w:rsidP="002E5F37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IA</w:t>
            </w:r>
          </w:p>
        </w:tc>
        <w:tc>
          <w:tcPr>
            <w:tcW w:w="2394" w:type="dxa"/>
          </w:tcPr>
          <w:p w:rsidR="00A80796" w:rsidRPr="00767038" w:rsidRDefault="00721128" w:rsidP="00721128">
            <w:pPr>
              <w:jc w:val="left"/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>Kwartalne raporty nieprawidłowości</w:t>
            </w:r>
          </w:p>
        </w:tc>
        <w:tc>
          <w:tcPr>
            <w:tcW w:w="2624" w:type="dxa"/>
          </w:tcPr>
          <w:p w:rsidR="00A80796" w:rsidRPr="00767038" w:rsidRDefault="00721128" w:rsidP="00BE73DF">
            <w:pPr>
              <w:rPr>
                <w:rFonts w:eastAsia="Calibri" w:cs="Times New Roman"/>
                <w:sz w:val="16"/>
                <w:lang w:val="pl-PL"/>
              </w:rPr>
            </w:pPr>
            <w:r w:rsidRPr="00767038">
              <w:rPr>
                <w:rFonts w:eastAsia="Calibri" w:cs="Times New Roman"/>
                <w:sz w:val="16"/>
                <w:lang w:val="pl-PL"/>
              </w:rPr>
              <w:t xml:space="preserve">W ciągu dwóch miesięcy od </w:t>
            </w:r>
            <w:r w:rsidR="00BE73DF" w:rsidRPr="00767038">
              <w:rPr>
                <w:rFonts w:eastAsia="Calibri" w:cs="Times New Roman"/>
                <w:sz w:val="16"/>
                <w:lang w:val="pl-PL"/>
              </w:rPr>
              <w:t xml:space="preserve">zakończenia </w:t>
            </w:r>
            <w:r w:rsidRPr="00767038">
              <w:rPr>
                <w:rFonts w:eastAsia="Calibri" w:cs="Times New Roman"/>
                <w:sz w:val="16"/>
                <w:lang w:val="pl-PL"/>
              </w:rPr>
              <w:t>każdego kwartału</w:t>
            </w:r>
          </w:p>
        </w:tc>
        <w:tc>
          <w:tcPr>
            <w:tcW w:w="3049" w:type="dxa"/>
          </w:tcPr>
          <w:p w:rsidR="00A80796" w:rsidRPr="00767038" w:rsidRDefault="00A80796" w:rsidP="002E5F37">
            <w:pPr>
              <w:rPr>
                <w:rFonts w:eastAsia="Calibri" w:cs="Times New Roman"/>
                <w:sz w:val="16"/>
                <w:lang w:val="pl-PL"/>
              </w:rPr>
            </w:pPr>
          </w:p>
        </w:tc>
      </w:tr>
    </w:tbl>
    <w:p w:rsidR="00196E37" w:rsidRPr="00767038" w:rsidRDefault="00196E37" w:rsidP="00A0039A">
      <w:pPr>
        <w:pStyle w:val="Nagwek2"/>
        <w:numPr>
          <w:ilvl w:val="0"/>
          <w:numId w:val="0"/>
        </w:numPr>
        <w:rPr>
          <w:lang w:val="pl-PL"/>
        </w:rPr>
      </w:pPr>
      <w:r w:rsidRPr="00767038">
        <w:rPr>
          <w:iCs/>
          <w:lang w:val="pl-PL"/>
        </w:rPr>
        <w:br w:type="page"/>
      </w:r>
    </w:p>
    <w:p w:rsidR="00497B9D" w:rsidRPr="00767038" w:rsidRDefault="00721128" w:rsidP="00A0039A">
      <w:pPr>
        <w:pStyle w:val="Nagwek2"/>
        <w:rPr>
          <w:lang w:val="pl-PL"/>
        </w:rPr>
      </w:pPr>
      <w:bookmarkStart w:id="121" w:name="_Toc505238529"/>
      <w:r w:rsidRPr="00767038">
        <w:rPr>
          <w:iCs/>
          <w:lang w:val="pl-PL"/>
        </w:rPr>
        <w:lastRenderedPageBreak/>
        <w:t>Schemat i okresy raportowania finansowego</w:t>
      </w:r>
      <w:bookmarkEnd w:id="120"/>
      <w:bookmarkEnd w:id="121"/>
    </w:p>
    <w:p w:rsidR="00150F7F" w:rsidRPr="00767038" w:rsidRDefault="00150F7F">
      <w:pPr>
        <w:spacing w:before="0" w:after="160"/>
        <w:jc w:val="left"/>
        <w:rPr>
          <w:lang w:val="pl-PL"/>
        </w:rPr>
      </w:pPr>
    </w:p>
    <w:p w:rsidR="0037210D" w:rsidRPr="00767038" w:rsidRDefault="0037210D" w:rsidP="00C753D4">
      <w:pPr>
        <w:spacing w:before="0" w:after="0"/>
        <w:jc w:val="left"/>
        <w:rPr>
          <w:sz w:val="18"/>
          <w:szCs w:val="18"/>
          <w:lang w:val="pl-PL"/>
        </w:rPr>
      </w:pPr>
    </w:p>
    <w:p w:rsidR="00F10F45" w:rsidRPr="00767038" w:rsidRDefault="0037210D" w:rsidP="00C753D4">
      <w:pPr>
        <w:spacing w:before="0" w:after="0"/>
        <w:jc w:val="left"/>
        <w:rPr>
          <w:sz w:val="18"/>
          <w:szCs w:val="18"/>
          <w:lang w:val="pl-PL"/>
        </w:rPr>
      </w:pPr>
      <w:r w:rsidRPr="00767038">
        <w:rPr>
          <w:noProof/>
          <w:sz w:val="18"/>
          <w:szCs w:val="18"/>
          <w:lang w:val="pl-PL" w:eastAsia="pl-PL"/>
        </w:rPr>
        <w:drawing>
          <wp:inline distT="0" distB="0" distL="0" distR="0" wp14:anchorId="07E68680" wp14:editId="31C2A110">
            <wp:extent cx="5732145" cy="1882408"/>
            <wp:effectExtent l="0" t="0" r="0" b="0"/>
            <wp:docPr id="4" name="Obraz 4" descr="C:\Users\Justyna_Beska\Desktop\Obra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_Beska\Desktop\Obraz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BD0" w:rsidRPr="00767038">
        <w:rPr>
          <w:sz w:val="18"/>
          <w:szCs w:val="18"/>
          <w:lang w:val="pl-PL"/>
        </w:rPr>
        <w:br w:type="page"/>
      </w:r>
    </w:p>
    <w:p w:rsidR="00042694" w:rsidRPr="00767038" w:rsidRDefault="00721128" w:rsidP="00A0039A">
      <w:pPr>
        <w:pStyle w:val="Nagwek2"/>
        <w:rPr>
          <w:lang w:val="pl-PL"/>
        </w:rPr>
      </w:pPr>
      <w:bookmarkStart w:id="122" w:name="_Toc505238530"/>
      <w:r w:rsidRPr="00767038">
        <w:rPr>
          <w:iCs/>
          <w:lang w:val="pl-PL"/>
        </w:rPr>
        <w:lastRenderedPageBreak/>
        <w:t>Wzór poświadczenia kosztów, o które wnioskuje partner darczyńca</w:t>
      </w:r>
      <w:bookmarkEnd w:id="122"/>
    </w:p>
    <w:p w:rsidR="00042694" w:rsidRPr="00767038" w:rsidRDefault="00721128" w:rsidP="00042694">
      <w:pPr>
        <w:rPr>
          <w:szCs w:val="20"/>
          <w:lang w:val="pl-PL"/>
        </w:rPr>
      </w:pPr>
      <w:r w:rsidRPr="00767038">
        <w:rPr>
          <w:szCs w:val="20"/>
          <w:lang w:val="pl-PL"/>
        </w:rPr>
        <w:t xml:space="preserve">Wydaje się na potrzeby poświadczania zgodnie z wymaganiami art. </w:t>
      </w:r>
      <w:r w:rsidR="00042694" w:rsidRPr="00767038">
        <w:rPr>
          <w:szCs w:val="20"/>
          <w:lang w:val="pl-PL"/>
        </w:rPr>
        <w:t>8.12.4</w:t>
      </w:r>
      <w:r w:rsidRPr="00767038">
        <w:rPr>
          <w:szCs w:val="20"/>
          <w:lang w:val="pl-PL"/>
        </w:rPr>
        <w:t xml:space="preserve"> </w:t>
      </w:r>
      <w:r w:rsidR="005A62D3" w:rsidRPr="00767038">
        <w:rPr>
          <w:szCs w:val="20"/>
          <w:lang w:val="pl-PL"/>
        </w:rPr>
        <w:t>Regulacji</w:t>
      </w:r>
      <w:r w:rsidRPr="00767038">
        <w:rPr>
          <w:szCs w:val="20"/>
          <w:lang w:val="pl-PL"/>
        </w:rPr>
        <w:t xml:space="preserve"> w sprawie realizacji Norweskiego </w:t>
      </w:r>
      <w:r w:rsidR="001D0157" w:rsidRPr="00767038">
        <w:rPr>
          <w:szCs w:val="20"/>
          <w:lang w:val="pl-PL"/>
        </w:rPr>
        <w:t xml:space="preserve">Mechanizmu Finansowego </w:t>
      </w:r>
      <w:r w:rsidRPr="00767038">
        <w:rPr>
          <w:szCs w:val="20"/>
          <w:lang w:val="pl-PL"/>
        </w:rPr>
        <w:t xml:space="preserve">i Mechanizmu Finansowego EOG </w:t>
      </w:r>
      <w:r w:rsidR="007E73D6" w:rsidRPr="00767038">
        <w:rPr>
          <w:szCs w:val="20"/>
          <w:lang w:val="pl-PL"/>
        </w:rPr>
        <w:t>na lata 2014-2021 (zwanych dalej „</w:t>
      </w:r>
      <w:r w:rsidR="005A62D3" w:rsidRPr="00767038">
        <w:rPr>
          <w:szCs w:val="20"/>
          <w:lang w:val="pl-PL"/>
        </w:rPr>
        <w:t>Regulacjami</w:t>
      </w:r>
      <w:r w:rsidR="007E73D6" w:rsidRPr="00767038">
        <w:rPr>
          <w:szCs w:val="20"/>
          <w:lang w:val="pl-PL"/>
        </w:rPr>
        <w:t>”</w:t>
      </w:r>
      <w:r w:rsidR="00042694" w:rsidRPr="00767038">
        <w:rPr>
          <w:szCs w:val="20"/>
          <w:lang w:val="pl-PL"/>
        </w:rPr>
        <w:t>).</w:t>
      </w:r>
    </w:p>
    <w:p w:rsidR="00042694" w:rsidRPr="00767038" w:rsidRDefault="007E73D6" w:rsidP="00042694">
      <w:pPr>
        <w:rPr>
          <w:szCs w:val="20"/>
          <w:lang w:val="pl-PL"/>
        </w:rPr>
      </w:pPr>
      <w:r w:rsidRPr="00767038">
        <w:rPr>
          <w:szCs w:val="20"/>
          <w:lang w:val="pl-PL"/>
        </w:rPr>
        <w:t xml:space="preserve">Potwierdzamy, że procedury zostały wykonane w celu zapewnienia pewności co do odpowiedniości i zgodności z </w:t>
      </w:r>
      <w:r w:rsidR="005A62D3" w:rsidRPr="00767038">
        <w:rPr>
          <w:szCs w:val="20"/>
          <w:lang w:val="pl-PL"/>
        </w:rPr>
        <w:t>Regulacjami</w:t>
      </w:r>
      <w:r w:rsidRPr="00767038">
        <w:rPr>
          <w:szCs w:val="20"/>
          <w:lang w:val="pl-PL"/>
        </w:rPr>
        <w:t xml:space="preserve">, prawem krajowym i odpowiednimi krajowymi praktykami rachunkowości kosztów, o które wnioskuje </w:t>
      </w:r>
      <w:r w:rsidR="00BA5A30" w:rsidRPr="00767038">
        <w:rPr>
          <w:szCs w:val="20"/>
          <w:lang w:val="pl-PL"/>
        </w:rPr>
        <w:t>partner projektu z Państw-Darczyńców</w:t>
      </w:r>
      <w:r w:rsidR="00042694" w:rsidRPr="00767038">
        <w:rPr>
          <w:szCs w:val="20"/>
          <w:lang w:val="pl-PL"/>
        </w:rPr>
        <w:t>.</w:t>
      </w:r>
    </w:p>
    <w:tbl>
      <w:tblPr>
        <w:tblStyle w:val="PlainTable210"/>
        <w:tblW w:w="0" w:type="auto"/>
        <w:tblLook w:val="04A0" w:firstRow="1" w:lastRow="0" w:firstColumn="1" w:lastColumn="0" w:noHBand="0" w:noVBand="1"/>
      </w:tblPr>
      <w:tblGrid>
        <w:gridCol w:w="5353"/>
        <w:gridCol w:w="3663"/>
      </w:tblGrid>
      <w:tr w:rsidR="00042694" w:rsidRPr="00767038" w:rsidTr="00DF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Nr referencyjny projektu/inicjatywy:</w:t>
            </w:r>
          </w:p>
        </w:tc>
        <w:tc>
          <w:tcPr>
            <w:tcW w:w="366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  <w:lang w:val="pl-PL"/>
              </w:rPr>
            </w:pPr>
            <w:r w:rsidRPr="00767038">
              <w:rPr>
                <w:b w:val="0"/>
                <w:bCs w:val="0"/>
                <w:i/>
                <w:iCs/>
                <w:sz w:val="16"/>
                <w:szCs w:val="16"/>
                <w:lang w:val="pl-PL"/>
              </w:rPr>
              <w:t>Wypełnić</w:t>
            </w:r>
          </w:p>
        </w:tc>
      </w:tr>
      <w:tr w:rsidR="00042694" w:rsidRPr="00767038" w:rsidTr="00DF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Tytuł projektu/inicjatywy</w:t>
            </w:r>
            <w:r w:rsidR="00042694" w:rsidRPr="00767038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366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Wypełnić</w:t>
            </w:r>
          </w:p>
        </w:tc>
      </w:tr>
      <w:tr w:rsidR="00042694" w:rsidRPr="00767038" w:rsidTr="00DF6C58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Partner projektu z darczyńcami</w:t>
            </w:r>
            <w:r w:rsidR="00042694" w:rsidRPr="00767038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366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Nazwa partnera projektu</w:t>
            </w:r>
          </w:p>
        </w:tc>
      </w:tr>
      <w:tr w:rsidR="00042694" w:rsidRPr="00767038" w:rsidTr="00DF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Jednostka odpowiedzialna za poświadczanie</w:t>
            </w:r>
            <w:r w:rsidR="00042694" w:rsidRPr="00767038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366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Nazwa jednostki</w:t>
            </w:r>
          </w:p>
        </w:tc>
      </w:tr>
      <w:tr w:rsidR="00042694" w:rsidRPr="007F2584" w:rsidTr="00DF6C5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Rodzaj jednostki</w:t>
            </w:r>
            <w:r w:rsidR="00042694" w:rsidRPr="00767038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366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Aud</w:t>
            </w:r>
            <w:r w:rsidR="007E73D6" w:rsidRPr="00767038">
              <w:rPr>
                <w:i/>
                <w:iCs/>
                <w:sz w:val="16"/>
                <w:szCs w:val="16"/>
                <w:lang w:val="pl-PL"/>
              </w:rPr>
              <w:t>y</w:t>
            </w:r>
            <w:r w:rsidRPr="00767038">
              <w:rPr>
                <w:i/>
                <w:iCs/>
                <w:sz w:val="16"/>
                <w:szCs w:val="16"/>
                <w:lang w:val="pl-PL"/>
              </w:rPr>
              <w:t xml:space="preserve">tor </w:t>
            </w:r>
            <w:r w:rsidR="007E73D6" w:rsidRPr="00767038">
              <w:rPr>
                <w:i/>
                <w:iCs/>
                <w:sz w:val="16"/>
                <w:szCs w:val="16"/>
                <w:lang w:val="pl-PL"/>
              </w:rPr>
              <w:t>lub właściwy urzędnik publiczny</w:t>
            </w:r>
          </w:p>
        </w:tc>
      </w:tr>
      <w:tr w:rsidR="00042694" w:rsidRPr="00767038" w:rsidTr="00DF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7E73D6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Data początkowa ponoszonych wydatków</w:t>
            </w:r>
            <w:r w:rsidR="00042694" w:rsidRPr="00767038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366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DD.MM.RRRR</w:t>
            </w:r>
          </w:p>
        </w:tc>
      </w:tr>
      <w:tr w:rsidR="00042694" w:rsidRPr="00767038" w:rsidTr="00DF6C58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1D0157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Data</w:t>
            </w:r>
            <w:r w:rsidR="007E73D6" w:rsidRPr="00767038">
              <w:rPr>
                <w:sz w:val="16"/>
                <w:szCs w:val="16"/>
                <w:lang w:val="pl-PL"/>
              </w:rPr>
              <w:t xml:space="preserve"> końcowa ponoszonych wydatków</w:t>
            </w:r>
            <w:r w:rsidR="00042694" w:rsidRPr="00767038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366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DD.MM.RRRR</w:t>
            </w:r>
          </w:p>
        </w:tc>
      </w:tr>
      <w:tr w:rsidR="00042694" w:rsidRPr="00767038" w:rsidTr="00DF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rPr>
                <w:sz w:val="16"/>
                <w:szCs w:val="16"/>
                <w:lang w:val="pl-PL"/>
              </w:rPr>
            </w:pPr>
            <w:r w:rsidRPr="00767038">
              <w:rPr>
                <w:sz w:val="16"/>
                <w:szCs w:val="16"/>
                <w:lang w:val="pl-PL"/>
              </w:rPr>
              <w:t>Rzeczywiste wydatki</w:t>
            </w:r>
            <w:r w:rsidRPr="00767038">
              <w:rPr>
                <w:rStyle w:val="Odwoanieprzypisudolnego"/>
                <w:sz w:val="16"/>
                <w:szCs w:val="16"/>
                <w:lang w:val="pl-PL"/>
              </w:rPr>
              <w:footnoteReference w:id="26"/>
            </w:r>
            <w:r w:rsidRPr="00767038">
              <w:rPr>
                <w:sz w:val="16"/>
                <w:szCs w:val="16"/>
                <w:lang w:val="pl-PL"/>
              </w:rPr>
              <w:t xml:space="preserve"> poniesione w tym okresie:</w:t>
            </w:r>
          </w:p>
        </w:tc>
        <w:tc>
          <w:tcPr>
            <w:tcW w:w="3663" w:type="dxa"/>
            <w:vAlign w:val="center"/>
          </w:tcPr>
          <w:p w:rsidR="00042694" w:rsidRPr="00767038" w:rsidRDefault="00042694" w:rsidP="00DF6C5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pl-PL"/>
              </w:rPr>
            </w:pPr>
            <w:r w:rsidRPr="00767038">
              <w:rPr>
                <w:i/>
                <w:iCs/>
                <w:sz w:val="16"/>
                <w:szCs w:val="16"/>
                <w:lang w:val="pl-PL"/>
              </w:rPr>
              <w:t>Wypełnić</w:t>
            </w:r>
          </w:p>
        </w:tc>
      </w:tr>
    </w:tbl>
    <w:p w:rsidR="00042694" w:rsidRPr="00767038" w:rsidRDefault="00042694" w:rsidP="00F623D7">
      <w:pPr>
        <w:spacing w:before="0"/>
        <w:jc w:val="center"/>
        <w:rPr>
          <w:szCs w:val="20"/>
          <w:lang w:val="pl-PL"/>
        </w:rPr>
      </w:pPr>
      <w:r w:rsidRPr="00767038">
        <w:rPr>
          <w:szCs w:val="20"/>
          <w:lang w:val="pl-PL"/>
        </w:rPr>
        <w:br/>
        <w:t>[Audytor/</w:t>
      </w:r>
      <w:r w:rsidR="007E73D6" w:rsidRPr="00767038">
        <w:rPr>
          <w:szCs w:val="20"/>
          <w:lang w:val="pl-PL"/>
        </w:rPr>
        <w:t>właściwy</w:t>
      </w:r>
      <w:r w:rsidRPr="00767038">
        <w:rPr>
          <w:szCs w:val="20"/>
          <w:lang w:val="pl-PL"/>
        </w:rPr>
        <w:t xml:space="preserve"> urzędnik publiczny] niniejszym zaświadcza, że:</w:t>
      </w:r>
    </w:p>
    <w:p w:rsidR="00042694" w:rsidRPr="00767038" w:rsidRDefault="007E73D6" w:rsidP="00727484">
      <w:pPr>
        <w:pStyle w:val="Akapitzlist"/>
        <w:numPr>
          <w:ilvl w:val="0"/>
          <w:numId w:val="32"/>
        </w:numPr>
        <w:spacing w:before="0" w:after="160"/>
        <w:jc w:val="left"/>
        <w:rPr>
          <w:szCs w:val="20"/>
          <w:lang w:val="pl-PL"/>
        </w:rPr>
      </w:pPr>
      <w:r w:rsidRPr="00767038">
        <w:rPr>
          <w:szCs w:val="20"/>
          <w:lang w:val="pl-PL"/>
        </w:rPr>
        <w:t xml:space="preserve">koszty, o które wnioskuje </w:t>
      </w:r>
      <w:r w:rsidR="00BA5A30" w:rsidRPr="00767038">
        <w:rPr>
          <w:szCs w:val="20"/>
          <w:lang w:val="pl-PL"/>
        </w:rPr>
        <w:t>partner projektu z Państw-Darczyńców</w:t>
      </w:r>
      <w:r w:rsidRPr="00767038">
        <w:rPr>
          <w:szCs w:val="20"/>
          <w:lang w:val="pl-PL"/>
        </w:rPr>
        <w:t xml:space="preserve">, zostały poniesione zgodnie z </w:t>
      </w:r>
      <w:r w:rsidR="005A62D3" w:rsidRPr="00767038">
        <w:rPr>
          <w:szCs w:val="20"/>
          <w:lang w:val="pl-PL"/>
        </w:rPr>
        <w:t>Regulacjami</w:t>
      </w:r>
      <w:r w:rsidRPr="00767038">
        <w:rPr>
          <w:szCs w:val="20"/>
          <w:lang w:val="pl-PL"/>
        </w:rPr>
        <w:t xml:space="preserve"> w sprawi</w:t>
      </w:r>
      <w:r w:rsidR="00D61853">
        <w:rPr>
          <w:szCs w:val="20"/>
          <w:lang w:val="pl-PL"/>
        </w:rPr>
        <w:t>e</w:t>
      </w:r>
      <w:r w:rsidRPr="00767038">
        <w:rPr>
          <w:szCs w:val="20"/>
          <w:lang w:val="pl-PL"/>
        </w:rPr>
        <w:t xml:space="preserve"> Mechanizmu Finansowego EOG i Norweskiego</w:t>
      </w:r>
      <w:r w:rsidR="001D0157" w:rsidRPr="00767038">
        <w:rPr>
          <w:szCs w:val="20"/>
          <w:lang w:val="pl-PL"/>
        </w:rPr>
        <w:t xml:space="preserve"> Mechanizmu Finansowego na lata </w:t>
      </w:r>
      <w:r w:rsidR="00042694" w:rsidRPr="00767038">
        <w:rPr>
          <w:szCs w:val="20"/>
          <w:lang w:val="pl-PL"/>
        </w:rPr>
        <w:t>2014-2021</w:t>
      </w:r>
      <w:r w:rsidR="00042694" w:rsidRPr="00767038">
        <w:rPr>
          <w:rStyle w:val="Odwoanieprzypisudolnego"/>
          <w:szCs w:val="20"/>
          <w:lang w:val="pl-PL"/>
        </w:rPr>
        <w:footnoteReference w:id="27"/>
      </w:r>
      <w:r w:rsidRPr="00767038">
        <w:rPr>
          <w:szCs w:val="20"/>
          <w:lang w:val="pl-PL"/>
        </w:rPr>
        <w:t>,</w:t>
      </w:r>
    </w:p>
    <w:p w:rsidR="00042694" w:rsidRPr="00767038" w:rsidRDefault="007E73D6" w:rsidP="00727484">
      <w:pPr>
        <w:pStyle w:val="Akapitzlist"/>
        <w:numPr>
          <w:ilvl w:val="0"/>
          <w:numId w:val="32"/>
        </w:numPr>
        <w:spacing w:before="0" w:after="160"/>
        <w:jc w:val="left"/>
        <w:rPr>
          <w:szCs w:val="20"/>
          <w:lang w:val="pl-PL"/>
        </w:rPr>
      </w:pPr>
      <w:r w:rsidRPr="00767038">
        <w:rPr>
          <w:szCs w:val="20"/>
          <w:lang w:val="pl-PL"/>
        </w:rPr>
        <w:t>koszty objęte wnioskiem zostały poniesione zgodnie z odpowiednim prawem i krajowymi praktykami rachunkowości,</w:t>
      </w:r>
    </w:p>
    <w:p w:rsidR="00042694" w:rsidRPr="00767038" w:rsidRDefault="00042694" w:rsidP="00727484">
      <w:pPr>
        <w:pStyle w:val="Akapitzlist"/>
        <w:numPr>
          <w:ilvl w:val="0"/>
          <w:numId w:val="32"/>
        </w:numPr>
        <w:spacing w:before="0" w:after="160"/>
        <w:jc w:val="left"/>
        <w:rPr>
          <w:szCs w:val="20"/>
          <w:lang w:val="pl-PL"/>
        </w:rPr>
      </w:pPr>
      <w:r w:rsidRPr="00767038">
        <w:rPr>
          <w:szCs w:val="20"/>
          <w:lang w:val="pl-PL"/>
        </w:rPr>
        <w:t>[Aud</w:t>
      </w:r>
      <w:r w:rsidR="007E73D6" w:rsidRPr="00767038">
        <w:rPr>
          <w:szCs w:val="20"/>
          <w:lang w:val="pl-PL"/>
        </w:rPr>
        <w:t>y</w:t>
      </w:r>
      <w:r w:rsidRPr="00767038">
        <w:rPr>
          <w:szCs w:val="20"/>
          <w:lang w:val="pl-PL"/>
        </w:rPr>
        <w:t>tor</w:t>
      </w:r>
      <w:r w:rsidRPr="00767038">
        <w:rPr>
          <w:rStyle w:val="Odwoanieprzypisudolnego"/>
          <w:szCs w:val="20"/>
          <w:lang w:val="pl-PL"/>
        </w:rPr>
        <w:footnoteReference w:id="28"/>
      </w:r>
      <w:r w:rsidRPr="00767038">
        <w:rPr>
          <w:szCs w:val="20"/>
          <w:lang w:val="pl-PL"/>
        </w:rPr>
        <w:t>/</w:t>
      </w:r>
      <w:r w:rsidR="007E73D6" w:rsidRPr="00767038">
        <w:rPr>
          <w:szCs w:val="20"/>
          <w:lang w:val="pl-PL"/>
        </w:rPr>
        <w:t>właściwy urzędnik publiczny</w:t>
      </w:r>
      <w:r w:rsidRPr="00767038">
        <w:rPr>
          <w:szCs w:val="20"/>
          <w:lang w:val="pl-PL"/>
        </w:rPr>
        <w:t xml:space="preserve">] </w:t>
      </w:r>
      <w:r w:rsidR="007E73D6" w:rsidRPr="00767038">
        <w:rPr>
          <w:szCs w:val="20"/>
          <w:lang w:val="pl-PL"/>
        </w:rPr>
        <w:t>nie był zaangażowany w przygotowanie odpowiednich sprawozdań finansowych i jest niezależny od partnera projektu z darczyńcami</w:t>
      </w:r>
      <w:r w:rsidRPr="00767038">
        <w:rPr>
          <w:szCs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521"/>
      </w:tblGrid>
      <w:tr w:rsidR="002C2FF7" w:rsidRPr="00767038" w:rsidTr="00F6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4" w:rsidRPr="00767038" w:rsidRDefault="00042694" w:rsidP="00E72A42">
            <w:pPr>
              <w:jc w:val="center"/>
              <w:rPr>
                <w:b w:val="0"/>
                <w:sz w:val="16"/>
                <w:szCs w:val="16"/>
                <w:lang w:val="pl-PL"/>
              </w:rPr>
            </w:pPr>
            <w:r w:rsidRPr="00767038">
              <w:rPr>
                <w:bCs/>
                <w:sz w:val="16"/>
                <w:szCs w:val="16"/>
                <w:lang w:val="pl-PL"/>
              </w:rPr>
              <w:t>W imieniu audytora/odpowiedzialny urzędnik publiczny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4" w:rsidRPr="00767038" w:rsidRDefault="00042694" w:rsidP="00E72A42">
            <w:pPr>
              <w:jc w:val="center"/>
              <w:rPr>
                <w:b w:val="0"/>
                <w:sz w:val="16"/>
                <w:szCs w:val="16"/>
                <w:lang w:val="pl-PL"/>
              </w:rPr>
            </w:pPr>
            <w:r w:rsidRPr="00767038">
              <w:rPr>
                <w:bCs/>
                <w:sz w:val="16"/>
                <w:szCs w:val="16"/>
                <w:lang w:val="pl-PL"/>
              </w:rPr>
              <w:t>Opcjonalnie drugi podpis</w:t>
            </w:r>
          </w:p>
        </w:tc>
      </w:tr>
      <w:tr w:rsidR="002C2FF7" w:rsidRPr="00767038" w:rsidTr="00F623D7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4" w:rsidRPr="00767038" w:rsidRDefault="00042694" w:rsidP="00E72A42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767038">
              <w:rPr>
                <w:b/>
                <w:bCs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</w:tr>
      <w:tr w:rsidR="00726302" w:rsidRPr="00767038" w:rsidTr="00F623D7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4" w:rsidRPr="00767038" w:rsidRDefault="00042694" w:rsidP="00E72A42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767038">
              <w:rPr>
                <w:b/>
                <w:bCs/>
                <w:sz w:val="16"/>
                <w:szCs w:val="16"/>
                <w:lang w:val="pl-PL"/>
              </w:rPr>
              <w:t>Podpis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521" w:type="dxa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</w:tr>
      <w:tr w:rsidR="002C2FF7" w:rsidRPr="00767038" w:rsidTr="00F623D7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4" w:rsidRPr="00767038" w:rsidRDefault="00042694" w:rsidP="00E72A42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767038">
              <w:rPr>
                <w:b/>
                <w:bCs/>
                <w:sz w:val="16"/>
                <w:szCs w:val="16"/>
                <w:lang w:val="pl-PL"/>
              </w:rPr>
              <w:t>Stanowisko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</w:tr>
      <w:tr w:rsidR="002C2FF7" w:rsidRPr="00767038" w:rsidTr="00F623D7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4" w:rsidRPr="00767038" w:rsidRDefault="00042694" w:rsidP="00E72A42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767038">
              <w:rPr>
                <w:b/>
                <w:bCs/>
                <w:sz w:val="16"/>
                <w:szCs w:val="16"/>
                <w:lang w:val="pl-PL"/>
              </w:rPr>
              <w:t>Data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042694" w:rsidRPr="00767038" w:rsidRDefault="00042694" w:rsidP="00E72A42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095228" w:rsidRPr="00767038" w:rsidRDefault="00095228" w:rsidP="00F623D7">
      <w:pPr>
        <w:rPr>
          <w:szCs w:val="20"/>
          <w:lang w:val="pl-PL"/>
        </w:rPr>
      </w:pPr>
    </w:p>
    <w:sectPr w:rsidR="00095228" w:rsidRPr="00767038" w:rsidSect="00DE4338">
      <w:footerReference w:type="default" r:id="rId1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EE" w:rsidRDefault="00A114EE" w:rsidP="009229B6">
      <w:pPr>
        <w:spacing w:after="0" w:line="240" w:lineRule="auto"/>
      </w:pPr>
      <w:r>
        <w:separator/>
      </w:r>
    </w:p>
    <w:p w:rsidR="00A114EE" w:rsidRDefault="00A114EE"/>
  </w:endnote>
  <w:endnote w:type="continuationSeparator" w:id="0">
    <w:p w:rsidR="00A114EE" w:rsidRDefault="00A114EE" w:rsidP="009229B6">
      <w:pPr>
        <w:spacing w:after="0" w:line="240" w:lineRule="auto"/>
      </w:pPr>
      <w:r>
        <w:continuationSeparator/>
      </w:r>
    </w:p>
    <w:p w:rsidR="00A114EE" w:rsidRDefault="00A114EE"/>
  </w:endnote>
  <w:endnote w:type="continuationNotice" w:id="1">
    <w:p w:rsidR="00A114EE" w:rsidRDefault="00A114EE">
      <w:pPr>
        <w:spacing w:after="0" w:line="240" w:lineRule="auto"/>
      </w:pPr>
    </w:p>
    <w:p w:rsidR="00A114EE" w:rsidRDefault="00A11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6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2D7" w:rsidRDefault="00C522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6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22D7" w:rsidRDefault="00C522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EE" w:rsidRDefault="00A114EE" w:rsidP="009229B6">
      <w:pPr>
        <w:spacing w:after="0" w:line="240" w:lineRule="auto"/>
      </w:pPr>
      <w:r>
        <w:separator/>
      </w:r>
    </w:p>
    <w:p w:rsidR="00A114EE" w:rsidRDefault="00A114EE"/>
  </w:footnote>
  <w:footnote w:type="continuationSeparator" w:id="0">
    <w:p w:rsidR="00A114EE" w:rsidRDefault="00A114EE" w:rsidP="009229B6">
      <w:pPr>
        <w:spacing w:after="0" w:line="240" w:lineRule="auto"/>
      </w:pPr>
      <w:r>
        <w:continuationSeparator/>
      </w:r>
    </w:p>
    <w:p w:rsidR="00A114EE" w:rsidRDefault="00A114EE"/>
  </w:footnote>
  <w:footnote w:type="continuationNotice" w:id="1">
    <w:p w:rsidR="00A114EE" w:rsidRDefault="00A114EE">
      <w:pPr>
        <w:spacing w:after="0" w:line="240" w:lineRule="auto"/>
      </w:pPr>
    </w:p>
    <w:p w:rsidR="00A114EE" w:rsidRDefault="00A114EE"/>
  </w:footnote>
  <w:footnote w:id="2">
    <w:p w:rsidR="00C522D7" w:rsidRPr="00265F1A" w:rsidRDefault="00C522D7" w:rsidP="003C4B7A">
      <w:pPr>
        <w:pStyle w:val="Default"/>
        <w:rPr>
          <w:rFonts w:ascii="Verdana" w:hAnsi="Verdana" w:cstheme="minorBidi"/>
          <w:color w:val="auto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265F1A">
        <w:rPr>
          <w:rFonts w:ascii="Verdana" w:hAnsi="Verdana"/>
          <w:color w:val="auto"/>
          <w:sz w:val="18"/>
          <w:szCs w:val="18"/>
          <w:lang w:val="pl-PL"/>
        </w:rPr>
        <w:t xml:space="preserve">Wyjątki zgodnie z art. 6.4 </w:t>
      </w:r>
      <w:r>
        <w:rPr>
          <w:rFonts w:ascii="Verdana" w:hAnsi="Verdana"/>
          <w:color w:val="auto"/>
          <w:sz w:val="18"/>
          <w:szCs w:val="18"/>
          <w:lang w:val="pl-PL"/>
        </w:rPr>
        <w:t>Regulacji</w:t>
      </w:r>
      <w:r w:rsidRPr="00265F1A">
        <w:rPr>
          <w:rFonts w:ascii="Verdana" w:hAnsi="Verdana"/>
          <w:color w:val="auto"/>
          <w:sz w:val="18"/>
          <w:szCs w:val="18"/>
          <w:lang w:val="pl-PL"/>
        </w:rPr>
        <w:t xml:space="preserve">: </w:t>
      </w:r>
    </w:p>
    <w:p w:rsidR="00C522D7" w:rsidRPr="00265F1A" w:rsidRDefault="00C522D7" w:rsidP="003C4B7A">
      <w:pPr>
        <w:pStyle w:val="Default"/>
        <w:rPr>
          <w:rFonts w:ascii="Verdana" w:hAnsi="Verdana" w:cstheme="minorBidi"/>
          <w:color w:val="auto"/>
          <w:sz w:val="18"/>
          <w:szCs w:val="18"/>
          <w:lang w:val="pl-PL"/>
        </w:rPr>
      </w:pP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(a) programy w </w:t>
      </w:r>
      <w:r>
        <w:rPr>
          <w:rFonts w:ascii="Verdana" w:hAnsi="Verdana" w:cstheme="minorBidi"/>
          <w:color w:val="auto"/>
          <w:sz w:val="18"/>
          <w:szCs w:val="18"/>
          <w:lang w:val="pl-PL"/>
        </w:rPr>
        <w:t xml:space="preserve">ramach </w:t>
      </w: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>obszar</w:t>
      </w:r>
      <w:r>
        <w:rPr>
          <w:rFonts w:ascii="Verdana" w:hAnsi="Verdana" w:cstheme="minorBidi"/>
          <w:color w:val="auto"/>
          <w:sz w:val="18"/>
          <w:szCs w:val="18"/>
          <w:lang w:val="pl-PL"/>
        </w:rPr>
        <w:t>u</w:t>
      </w: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 program</w:t>
      </w:r>
      <w:r>
        <w:rPr>
          <w:rFonts w:ascii="Verdana" w:hAnsi="Verdana" w:cstheme="minorBidi"/>
          <w:color w:val="auto"/>
          <w:sz w:val="18"/>
          <w:szCs w:val="18"/>
          <w:lang w:val="pl-PL"/>
        </w:rPr>
        <w:t>owego</w:t>
      </w: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 „Społeczeństwo obywatelskie”; </w:t>
      </w:r>
    </w:p>
    <w:p w:rsidR="00C522D7" w:rsidRPr="00265F1A" w:rsidRDefault="00C522D7" w:rsidP="003C4B7A">
      <w:pPr>
        <w:pStyle w:val="Default"/>
        <w:rPr>
          <w:rFonts w:ascii="Verdana" w:hAnsi="Verdana" w:cstheme="minorBidi"/>
          <w:color w:val="auto"/>
          <w:sz w:val="18"/>
          <w:szCs w:val="18"/>
          <w:lang w:val="pl-PL"/>
        </w:rPr>
      </w:pP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(b) programy zarządzane przez BMF, organizacje międzyrządowe lub </w:t>
      </w:r>
      <w:r>
        <w:rPr>
          <w:rFonts w:ascii="Verdana" w:hAnsi="Verdana" w:cstheme="minorBidi"/>
          <w:color w:val="auto"/>
          <w:sz w:val="18"/>
          <w:szCs w:val="18"/>
          <w:lang w:val="pl-PL"/>
        </w:rPr>
        <w:t xml:space="preserve">podmioty z Państw – Darczyńców </w:t>
      </w: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zgodnie z art. 6.13; i </w:t>
      </w:r>
    </w:p>
    <w:p w:rsidR="00C522D7" w:rsidRDefault="00C522D7" w:rsidP="000F0F39">
      <w:pPr>
        <w:pStyle w:val="Default"/>
        <w:rPr>
          <w:rFonts w:ascii="Verdana" w:hAnsi="Verdana" w:cstheme="minorBidi"/>
          <w:color w:val="auto"/>
          <w:sz w:val="18"/>
          <w:szCs w:val="18"/>
          <w:lang w:val="pl-PL"/>
        </w:rPr>
      </w:pP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(c) </w:t>
      </w:r>
      <w:r>
        <w:rPr>
          <w:rFonts w:ascii="Verdana" w:hAnsi="Verdana" w:cstheme="minorBidi"/>
          <w:color w:val="auto"/>
          <w:sz w:val="18"/>
          <w:szCs w:val="18"/>
          <w:lang w:val="pl-PL"/>
        </w:rPr>
        <w:t>inne</w:t>
      </w: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 xml:space="preserve"> programy szczególnego zainteresowania</w:t>
      </w:r>
      <w:r>
        <w:rPr>
          <w:rFonts w:ascii="Verdana" w:hAnsi="Verdana" w:cstheme="minorBidi"/>
          <w:color w:val="auto"/>
          <w:sz w:val="18"/>
          <w:szCs w:val="18"/>
          <w:lang w:val="pl-PL"/>
        </w:rPr>
        <w:t xml:space="preserve"> stron</w:t>
      </w:r>
      <w:r w:rsidRPr="00265F1A">
        <w:rPr>
          <w:rFonts w:ascii="Verdana" w:hAnsi="Verdana" w:cstheme="minorBidi"/>
          <w:color w:val="auto"/>
          <w:sz w:val="18"/>
          <w:szCs w:val="18"/>
          <w:lang w:val="pl-PL"/>
        </w:rPr>
        <w:t>.</w:t>
      </w:r>
    </w:p>
    <w:p w:rsidR="00C522D7" w:rsidRPr="00265F1A" w:rsidRDefault="00C522D7" w:rsidP="000F0F39">
      <w:pPr>
        <w:pStyle w:val="Default"/>
        <w:rPr>
          <w:sz w:val="18"/>
          <w:szCs w:val="18"/>
          <w:lang w:val="pl-PL"/>
        </w:rPr>
      </w:pPr>
    </w:p>
    <w:p w:rsidR="00C522D7" w:rsidRPr="00265F1A" w:rsidRDefault="00C522D7">
      <w:pPr>
        <w:pStyle w:val="Tekstprzypisudolnego"/>
        <w:rPr>
          <w:lang w:val="pl-PL"/>
        </w:rPr>
      </w:pPr>
    </w:p>
  </w:footnote>
  <w:footnote w:id="3">
    <w:p w:rsidR="00C522D7" w:rsidRPr="00265F1A" w:rsidRDefault="00C522D7" w:rsidP="00E264C0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 w:rsidRPr="00265F1A">
        <w:rPr>
          <w:sz w:val="18"/>
          <w:szCs w:val="18"/>
          <w:lang w:val="pl-PL"/>
        </w:rPr>
        <w:t xml:space="preserve">Programy w obszarze „Społeczeństwo obywatelskie”; programy zarządzane przez BMF, organizacje międzyrządowe lub jednostki z </w:t>
      </w:r>
      <w:r>
        <w:rPr>
          <w:sz w:val="18"/>
          <w:szCs w:val="18"/>
          <w:lang w:val="pl-PL"/>
        </w:rPr>
        <w:t>P</w:t>
      </w:r>
      <w:r w:rsidRPr="00265F1A">
        <w:rPr>
          <w:sz w:val="18"/>
          <w:szCs w:val="18"/>
          <w:lang w:val="pl-PL"/>
        </w:rPr>
        <w:t>aństw-</w:t>
      </w:r>
      <w:r>
        <w:rPr>
          <w:sz w:val="18"/>
          <w:szCs w:val="18"/>
          <w:lang w:val="pl-PL"/>
        </w:rPr>
        <w:t>D</w:t>
      </w:r>
      <w:r w:rsidRPr="00265F1A">
        <w:rPr>
          <w:sz w:val="18"/>
          <w:szCs w:val="18"/>
          <w:lang w:val="pl-PL"/>
        </w:rPr>
        <w:t xml:space="preserve">arczyńców zgodnie z art. 6.13 </w:t>
      </w:r>
      <w:r>
        <w:rPr>
          <w:sz w:val="18"/>
          <w:szCs w:val="18"/>
          <w:lang w:val="pl-PL"/>
        </w:rPr>
        <w:t>Regulacji</w:t>
      </w:r>
      <w:r w:rsidRPr="00265F1A">
        <w:rPr>
          <w:sz w:val="18"/>
          <w:szCs w:val="18"/>
          <w:lang w:val="pl-PL"/>
        </w:rPr>
        <w:t>; pozostałe programy specjalnego zainteresowania.</w:t>
      </w:r>
    </w:p>
  </w:footnote>
  <w:footnote w:id="4">
    <w:p w:rsidR="00C522D7" w:rsidRPr="00265F1A" w:rsidRDefault="00C522D7" w:rsidP="00CA1389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265F1A">
        <w:rPr>
          <w:sz w:val="18"/>
          <w:szCs w:val="18"/>
          <w:lang w:val="pl-PL"/>
        </w:rPr>
        <w:t xml:space="preserve"> Oryginały dokumentów, w szczególności rejestry księgowe i podatkowe, lub w nadzwyczajnych i rzetelnie udokumentowanych przypadkach poświadczone kopie oryginałów dokumentów.</w:t>
      </w:r>
    </w:p>
  </w:footnote>
  <w:footnote w:id="5">
    <w:p w:rsidR="00C522D7" w:rsidRPr="00265F1A" w:rsidRDefault="00C522D7" w:rsidP="00CA1389">
      <w:pPr>
        <w:pStyle w:val="Tekstprzypisudolnego"/>
        <w:rPr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265F1A">
        <w:rPr>
          <w:sz w:val="18"/>
          <w:szCs w:val="18"/>
          <w:lang w:val="pl-PL"/>
        </w:rPr>
        <w:t xml:space="preserve"> Decyzj</w:t>
      </w:r>
      <w:r>
        <w:rPr>
          <w:sz w:val="18"/>
          <w:szCs w:val="18"/>
          <w:lang w:val="pl-PL"/>
        </w:rPr>
        <w:t>a</w:t>
      </w:r>
      <w:r w:rsidRPr="00265F1A">
        <w:rPr>
          <w:sz w:val="18"/>
          <w:szCs w:val="18"/>
          <w:lang w:val="pl-PL"/>
        </w:rPr>
        <w:t xml:space="preserve"> o przyznaniu dofinansowania na projekt </w:t>
      </w:r>
      <w:r>
        <w:rPr>
          <w:sz w:val="18"/>
          <w:szCs w:val="18"/>
          <w:lang w:val="pl-PL"/>
        </w:rPr>
        <w:t xml:space="preserve">jest zazwyczaj </w:t>
      </w:r>
      <w:r w:rsidRPr="00265F1A">
        <w:rPr>
          <w:sz w:val="18"/>
          <w:szCs w:val="18"/>
          <w:lang w:val="pl-PL"/>
        </w:rPr>
        <w:t>podejm</w:t>
      </w:r>
      <w:r>
        <w:rPr>
          <w:sz w:val="18"/>
          <w:szCs w:val="18"/>
          <w:lang w:val="pl-PL"/>
        </w:rPr>
        <w:t>owana</w:t>
      </w:r>
      <w:r w:rsidRPr="00265F1A">
        <w:rPr>
          <w:sz w:val="18"/>
          <w:szCs w:val="18"/>
          <w:lang w:val="pl-PL"/>
        </w:rPr>
        <w:t xml:space="preserve"> przed podpisaniem </w:t>
      </w:r>
      <w:r>
        <w:rPr>
          <w:sz w:val="18"/>
          <w:szCs w:val="18"/>
          <w:lang w:val="pl-PL"/>
        </w:rPr>
        <w:t>U</w:t>
      </w:r>
      <w:r w:rsidRPr="00265F1A">
        <w:rPr>
          <w:sz w:val="18"/>
          <w:szCs w:val="18"/>
          <w:lang w:val="pl-PL"/>
        </w:rPr>
        <w:t xml:space="preserve">mowy w sprawie projektu i powinna ona zostać udokumentowana (w formie korespondencji z </w:t>
      </w:r>
      <w:r>
        <w:rPr>
          <w:sz w:val="18"/>
          <w:szCs w:val="18"/>
          <w:lang w:val="pl-PL"/>
        </w:rPr>
        <w:t>beneficjentem</w:t>
      </w:r>
      <w:r w:rsidRPr="00265F1A">
        <w:rPr>
          <w:sz w:val="18"/>
          <w:szCs w:val="18"/>
          <w:lang w:val="pl-PL"/>
        </w:rPr>
        <w:t>, formalnego pisma it</w:t>
      </w:r>
      <w:r>
        <w:rPr>
          <w:sz w:val="18"/>
          <w:szCs w:val="18"/>
          <w:lang w:val="pl-PL"/>
        </w:rPr>
        <w:t>p</w:t>
      </w:r>
      <w:r w:rsidRPr="00265F1A">
        <w:rPr>
          <w:sz w:val="18"/>
          <w:szCs w:val="18"/>
          <w:lang w:val="pl-PL"/>
        </w:rPr>
        <w:t>.).</w:t>
      </w:r>
    </w:p>
  </w:footnote>
  <w:footnote w:id="6">
    <w:p w:rsidR="00C522D7" w:rsidRPr="00265F1A" w:rsidRDefault="00C522D7" w:rsidP="000C58A8">
      <w:pPr>
        <w:pStyle w:val="Tekstprzypisudolnego"/>
        <w:rPr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 w:rsidRPr="00265F1A">
        <w:rPr>
          <w:sz w:val="18"/>
          <w:szCs w:val="18"/>
          <w:lang w:val="pl-PL"/>
        </w:rPr>
        <w:t xml:space="preserve">Dalsze informacje na temat działań kwalifikowalnych na wczesnym etapie przygotowania programów i procedura wnioskowania o bezpośrednie zaliczki są przedstawione w „Wytycznych </w:t>
      </w:r>
      <w:r>
        <w:rPr>
          <w:sz w:val="18"/>
          <w:szCs w:val="18"/>
          <w:lang w:val="pl-PL"/>
        </w:rPr>
        <w:t>dotyczących Funduszu</w:t>
      </w:r>
      <w:r w:rsidRPr="00265F1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Współpracy D</w:t>
      </w:r>
      <w:r w:rsidRPr="00265F1A">
        <w:rPr>
          <w:sz w:val="18"/>
          <w:szCs w:val="18"/>
          <w:lang w:val="pl-PL"/>
        </w:rPr>
        <w:t>wustronn</w:t>
      </w:r>
      <w:r>
        <w:rPr>
          <w:sz w:val="18"/>
          <w:szCs w:val="18"/>
          <w:lang w:val="pl-PL"/>
        </w:rPr>
        <w:t>ej</w:t>
      </w:r>
      <w:r w:rsidRPr="00265F1A">
        <w:rPr>
          <w:sz w:val="18"/>
          <w:szCs w:val="18"/>
          <w:lang w:val="pl-PL"/>
        </w:rPr>
        <w:t>”.</w:t>
      </w:r>
    </w:p>
  </w:footnote>
  <w:footnote w:id="7">
    <w:p w:rsidR="00C522D7" w:rsidRPr="00265F1A" w:rsidRDefault="00C522D7" w:rsidP="00715978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265F1A">
        <w:rPr>
          <w:sz w:val="18"/>
          <w:szCs w:val="18"/>
          <w:lang w:val="pl-PL"/>
        </w:rPr>
        <w:t xml:space="preserve"> W </w:t>
      </w:r>
      <w:r>
        <w:rPr>
          <w:sz w:val="18"/>
          <w:szCs w:val="18"/>
          <w:lang w:val="pl-PL"/>
        </w:rPr>
        <w:t>wyjątkowych i należycie</w:t>
      </w:r>
      <w:r w:rsidRPr="00265F1A">
        <w:rPr>
          <w:sz w:val="18"/>
          <w:szCs w:val="18"/>
          <w:lang w:val="pl-PL"/>
        </w:rPr>
        <w:t xml:space="preserve"> uzasadnionych przypadkach</w:t>
      </w:r>
      <w:r>
        <w:rPr>
          <w:sz w:val="18"/>
          <w:szCs w:val="18"/>
          <w:lang w:val="pl-PL"/>
        </w:rPr>
        <w:t>,</w:t>
      </w:r>
      <w:r w:rsidRPr="00265F1A">
        <w:rPr>
          <w:sz w:val="18"/>
          <w:szCs w:val="18"/>
          <w:lang w:val="pl-PL"/>
        </w:rPr>
        <w:t xml:space="preserve"> O</w:t>
      </w:r>
      <w:r>
        <w:rPr>
          <w:sz w:val="18"/>
          <w:szCs w:val="18"/>
          <w:lang w:val="pl-PL"/>
        </w:rPr>
        <w:t xml:space="preserve">perator </w:t>
      </w:r>
      <w:r w:rsidRPr="00265F1A">
        <w:rPr>
          <w:sz w:val="18"/>
          <w:szCs w:val="18"/>
          <w:lang w:val="pl-PL"/>
        </w:rPr>
        <w:t>P</w:t>
      </w:r>
      <w:r>
        <w:rPr>
          <w:sz w:val="18"/>
          <w:szCs w:val="18"/>
          <w:lang w:val="pl-PL"/>
        </w:rPr>
        <w:t>rogramu</w:t>
      </w:r>
      <w:r w:rsidRPr="00265F1A">
        <w:rPr>
          <w:sz w:val="18"/>
          <w:szCs w:val="18"/>
          <w:lang w:val="pl-PL"/>
        </w:rPr>
        <w:t xml:space="preserve"> może zasugerować</w:t>
      </w:r>
      <w:r>
        <w:rPr>
          <w:sz w:val="18"/>
          <w:szCs w:val="18"/>
          <w:lang w:val="pl-PL"/>
        </w:rPr>
        <w:t xml:space="preserve"> wyłączenie</w:t>
      </w:r>
      <w:r w:rsidRPr="00265F1A">
        <w:rPr>
          <w:sz w:val="18"/>
          <w:szCs w:val="18"/>
          <w:lang w:val="pl-PL"/>
        </w:rPr>
        <w:t xml:space="preserve"> dodatkow</w:t>
      </w:r>
      <w:r>
        <w:rPr>
          <w:sz w:val="18"/>
          <w:szCs w:val="18"/>
          <w:lang w:val="pl-PL"/>
        </w:rPr>
        <w:t>ych</w:t>
      </w:r>
      <w:r w:rsidRPr="00265F1A">
        <w:rPr>
          <w:sz w:val="18"/>
          <w:szCs w:val="18"/>
          <w:lang w:val="pl-PL"/>
        </w:rPr>
        <w:t xml:space="preserve"> wydatk</w:t>
      </w:r>
      <w:r>
        <w:rPr>
          <w:sz w:val="18"/>
          <w:szCs w:val="18"/>
          <w:lang w:val="pl-PL"/>
        </w:rPr>
        <w:t>ów</w:t>
      </w:r>
      <w:r w:rsidRPr="00265F1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lub wykluczenie pewnych kosztów</w:t>
      </w:r>
      <w:r w:rsidRPr="00265F1A">
        <w:rPr>
          <w:sz w:val="18"/>
          <w:szCs w:val="18"/>
          <w:lang w:val="pl-PL"/>
        </w:rPr>
        <w:t xml:space="preserve">. </w:t>
      </w:r>
      <w:r>
        <w:rPr>
          <w:sz w:val="18"/>
          <w:szCs w:val="18"/>
          <w:lang w:val="pl-PL"/>
        </w:rPr>
        <w:t>Takie odstępstwa</w:t>
      </w:r>
      <w:r w:rsidRPr="00265F1A">
        <w:rPr>
          <w:sz w:val="18"/>
          <w:szCs w:val="18"/>
          <w:lang w:val="pl-PL"/>
        </w:rPr>
        <w:t>, jeżeli zosta</w:t>
      </w:r>
      <w:r>
        <w:rPr>
          <w:sz w:val="18"/>
          <w:szCs w:val="18"/>
          <w:lang w:val="pl-PL"/>
        </w:rPr>
        <w:t>ną</w:t>
      </w:r>
      <w:r w:rsidRPr="00265F1A">
        <w:rPr>
          <w:sz w:val="18"/>
          <w:szCs w:val="18"/>
          <w:lang w:val="pl-PL"/>
        </w:rPr>
        <w:t xml:space="preserve"> zatwierdzone przez KMF/</w:t>
      </w:r>
      <w:r>
        <w:rPr>
          <w:sz w:val="18"/>
          <w:szCs w:val="18"/>
          <w:lang w:val="pl-PL"/>
        </w:rPr>
        <w:t>N</w:t>
      </w:r>
      <w:r w:rsidRPr="00265F1A">
        <w:rPr>
          <w:sz w:val="18"/>
          <w:szCs w:val="18"/>
          <w:lang w:val="pl-PL"/>
        </w:rPr>
        <w:t xml:space="preserve">MSZ, należy jednoznacznie określić w </w:t>
      </w:r>
      <w:r>
        <w:rPr>
          <w:sz w:val="18"/>
          <w:szCs w:val="18"/>
          <w:lang w:val="pl-PL"/>
        </w:rPr>
        <w:t>Umowie w sprawie programu</w:t>
      </w:r>
      <w:r w:rsidRPr="00265F1A">
        <w:rPr>
          <w:sz w:val="18"/>
          <w:szCs w:val="18"/>
          <w:lang w:val="pl-PL"/>
        </w:rPr>
        <w:t>.</w:t>
      </w:r>
    </w:p>
  </w:footnote>
  <w:footnote w:id="8">
    <w:p w:rsidR="00C522D7" w:rsidRDefault="00C522D7" w:rsidP="005F2482">
      <w:pPr>
        <w:pStyle w:val="Tekstprzypisudolnego"/>
        <w:rPr>
          <w:sz w:val="18"/>
          <w:szCs w:val="18"/>
          <w:lang w:val="pl-PL"/>
        </w:rPr>
      </w:pPr>
      <w:r w:rsidRPr="00155C68">
        <w:rPr>
          <w:rStyle w:val="Odwoanieprzypisudolnego"/>
          <w:sz w:val="18"/>
          <w:szCs w:val="18"/>
          <w:lang w:val="pl-PL"/>
        </w:rPr>
        <w:footnoteRef/>
      </w:r>
      <w:r w:rsidRPr="00155C68">
        <w:rPr>
          <w:sz w:val="18"/>
          <w:szCs w:val="18"/>
          <w:lang w:val="pl-PL"/>
        </w:rPr>
        <w:t xml:space="preserve"> Na przykład koszty związane z infrastruktur</w:t>
      </w:r>
      <w:r>
        <w:rPr>
          <w:sz w:val="18"/>
          <w:szCs w:val="18"/>
          <w:lang w:val="pl-PL"/>
        </w:rPr>
        <w:t>ą</w:t>
      </w:r>
      <w:r w:rsidRPr="00155C68">
        <w:rPr>
          <w:sz w:val="18"/>
          <w:szCs w:val="18"/>
          <w:lang w:val="pl-PL"/>
        </w:rPr>
        <w:t xml:space="preserve"> i ogólnym </w:t>
      </w:r>
      <w:r>
        <w:rPr>
          <w:sz w:val="18"/>
          <w:szCs w:val="18"/>
          <w:lang w:val="pl-PL"/>
        </w:rPr>
        <w:t>utrzymaniem instytucji</w:t>
      </w:r>
      <w:r w:rsidRPr="00155C68">
        <w:rPr>
          <w:sz w:val="18"/>
          <w:szCs w:val="18"/>
          <w:lang w:val="pl-PL"/>
        </w:rPr>
        <w:t>, w tym woda, gaz, energia elektryczna, koszty utrzymania, ubezpieczenie, dostawy i wyposażenie biura, koszty komunikacji i łączności, opłaty pocztowe i inne, koszty związane z działaniem służb horyzontalnych, w tym administracji i zarządzania finansami, zasobów ludzkich, szkoleń, doradztwa prawnego itd.</w:t>
      </w:r>
    </w:p>
    <w:p w:rsidR="00C522D7" w:rsidRPr="00155C68" w:rsidRDefault="00C522D7" w:rsidP="005F2482">
      <w:pPr>
        <w:pStyle w:val="Tekstprzypisudolnego"/>
        <w:rPr>
          <w:sz w:val="18"/>
          <w:szCs w:val="18"/>
          <w:lang w:val="pl-PL"/>
        </w:rPr>
      </w:pPr>
    </w:p>
  </w:footnote>
  <w:footnote w:id="9">
    <w:p w:rsidR="00C522D7" w:rsidRPr="00155C68" w:rsidRDefault="00C522D7" w:rsidP="00FD5ADC">
      <w:pPr>
        <w:rPr>
          <w:sz w:val="18"/>
          <w:szCs w:val="18"/>
          <w:lang w:val="pl-PL"/>
        </w:rPr>
      </w:pPr>
      <w:r w:rsidRPr="00155C68">
        <w:rPr>
          <w:rStyle w:val="Odwoanieprzypisudolnego"/>
          <w:lang w:val="pl-PL"/>
        </w:rPr>
        <w:footnoteRef/>
      </w:r>
      <w:r>
        <w:rPr>
          <w:sz w:val="18"/>
          <w:szCs w:val="18"/>
          <w:lang w:val="pl-PL"/>
        </w:rPr>
        <w:t xml:space="preserve"> </w:t>
      </w:r>
      <w:r w:rsidRPr="00155C68">
        <w:rPr>
          <w:sz w:val="18"/>
          <w:szCs w:val="18"/>
          <w:lang w:val="pl-PL"/>
        </w:rPr>
        <w:t xml:space="preserve">Strony trzecie – organizacje lub osoby zaangażowane w projekt, które nie podpisały umowy w sprawie projektu. W zależności od potrzeb </w:t>
      </w:r>
      <w:r>
        <w:rPr>
          <w:sz w:val="18"/>
          <w:szCs w:val="18"/>
          <w:lang w:val="pl-PL"/>
        </w:rPr>
        <w:t>beneficjenta</w:t>
      </w:r>
      <w:r w:rsidRPr="00155C68">
        <w:rPr>
          <w:sz w:val="18"/>
          <w:szCs w:val="18"/>
          <w:lang w:val="pl-PL"/>
        </w:rPr>
        <w:t xml:space="preserve"> strony trzecie mogą być bezpośrednio zaangażowane w realizację zadań projektowych.</w:t>
      </w:r>
    </w:p>
    <w:p w:rsidR="00C522D7" w:rsidRPr="00265F1A" w:rsidRDefault="00C522D7">
      <w:pPr>
        <w:pStyle w:val="Tekstprzypisudolnego"/>
        <w:rPr>
          <w:lang w:val="pl-PL"/>
        </w:rPr>
      </w:pPr>
    </w:p>
  </w:footnote>
  <w:footnote w:id="10">
    <w:p w:rsidR="00C522D7" w:rsidRPr="00265F1A" w:rsidRDefault="00C522D7" w:rsidP="005D0B75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 w:rsidRPr="00486649">
        <w:rPr>
          <w:sz w:val="18"/>
          <w:szCs w:val="18"/>
          <w:lang w:val="pl-PL"/>
        </w:rPr>
        <w:t>Sekcja 2.2 niniejszego dokumentu zawiera dalsze informacje na temat poziomów dofinansowania/współfinansowania.</w:t>
      </w:r>
    </w:p>
  </w:footnote>
  <w:footnote w:id="11">
    <w:p w:rsidR="00C522D7" w:rsidRPr="00265F1A" w:rsidRDefault="00C522D7" w:rsidP="00640E2E">
      <w:pPr>
        <w:pStyle w:val="Defaul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Odwoanieprzypisudolnego"/>
          <w:color w:val="auto"/>
          <w:sz w:val="18"/>
          <w:szCs w:val="18"/>
        </w:rPr>
        <w:footnoteRef/>
      </w:r>
      <w:r w:rsidRPr="00265F1A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>Z zastrzeżeniem odmiennych przepisów</w:t>
      </w:r>
      <w:r w:rsidRPr="00265F1A">
        <w:rPr>
          <w:rFonts w:ascii="Verdana" w:hAnsi="Verdana"/>
          <w:sz w:val="18"/>
          <w:szCs w:val="18"/>
          <w:lang w:val="pl-PL"/>
        </w:rPr>
        <w:t xml:space="preserve"> prawa krajowego</w:t>
      </w:r>
      <w:r w:rsidRPr="00265F1A">
        <w:rPr>
          <w:rFonts w:ascii="Times New Roman" w:hAnsi="Times New Roman"/>
          <w:sz w:val="18"/>
          <w:szCs w:val="18"/>
          <w:lang w:val="pl-PL"/>
        </w:rPr>
        <w:t>.</w:t>
      </w:r>
    </w:p>
  </w:footnote>
  <w:footnote w:id="12">
    <w:p w:rsidR="00C522D7" w:rsidRPr="006D1774" w:rsidRDefault="00C522D7" w:rsidP="00264CD7">
      <w:pPr>
        <w:pStyle w:val="Tekstprzypisudolnego"/>
        <w:rPr>
          <w:sz w:val="18"/>
          <w:szCs w:val="18"/>
          <w:lang w:val="pl-PL"/>
        </w:rPr>
      </w:pPr>
      <w:r w:rsidRPr="006D1774">
        <w:rPr>
          <w:rStyle w:val="Odwoanieprzypisudolnego"/>
          <w:sz w:val="18"/>
          <w:szCs w:val="18"/>
          <w:lang w:val="pl-PL"/>
        </w:rPr>
        <w:footnoteRef/>
      </w:r>
      <w:r w:rsidRPr="006D1774">
        <w:rPr>
          <w:sz w:val="18"/>
          <w:szCs w:val="18"/>
          <w:lang w:val="pl-PL"/>
        </w:rPr>
        <w:t xml:space="preserve"> Sekcja 2.1 niniejszego dokumentu zawiera dalsze informacje na temat </w:t>
      </w:r>
      <w:r>
        <w:rPr>
          <w:sz w:val="18"/>
          <w:szCs w:val="18"/>
          <w:lang w:val="pl-PL"/>
        </w:rPr>
        <w:t>Umowy w sprawie programu</w:t>
      </w:r>
      <w:r w:rsidRPr="006D1774">
        <w:rPr>
          <w:sz w:val="18"/>
          <w:szCs w:val="18"/>
          <w:lang w:val="pl-PL"/>
        </w:rPr>
        <w:t>.</w:t>
      </w:r>
    </w:p>
  </w:footnote>
  <w:footnote w:id="13">
    <w:p w:rsidR="00C522D7" w:rsidRPr="00265F1A" w:rsidRDefault="00C522D7" w:rsidP="00264CD7">
      <w:pPr>
        <w:pStyle w:val="Tekstprzypisudolnego"/>
        <w:rPr>
          <w:sz w:val="18"/>
          <w:szCs w:val="18"/>
          <w:lang w:val="pl-PL"/>
        </w:rPr>
      </w:pPr>
      <w:r w:rsidRPr="006D1774">
        <w:rPr>
          <w:rStyle w:val="Odwoanieprzypisudolnego"/>
          <w:sz w:val="18"/>
          <w:szCs w:val="18"/>
          <w:lang w:val="pl-PL"/>
        </w:rPr>
        <w:footnoteRef/>
      </w:r>
      <w:r w:rsidRPr="006D1774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Opis</w:t>
      </w:r>
      <w:r w:rsidRPr="006D1774">
        <w:rPr>
          <w:sz w:val="18"/>
          <w:szCs w:val="18"/>
          <w:lang w:val="pl-PL"/>
        </w:rPr>
        <w:t xml:space="preserve"> wzor</w:t>
      </w:r>
      <w:r>
        <w:rPr>
          <w:sz w:val="18"/>
          <w:szCs w:val="18"/>
          <w:lang w:val="pl-PL"/>
        </w:rPr>
        <w:t>u</w:t>
      </w:r>
      <w:r w:rsidRPr="006D1774">
        <w:rPr>
          <w:sz w:val="18"/>
          <w:szCs w:val="18"/>
          <w:lang w:val="pl-PL"/>
        </w:rPr>
        <w:t xml:space="preserve"> FRO </w:t>
      </w:r>
      <w:r>
        <w:rPr>
          <w:sz w:val="18"/>
          <w:szCs w:val="18"/>
          <w:lang w:val="pl-PL"/>
        </w:rPr>
        <w:t>oraz</w:t>
      </w:r>
      <w:r w:rsidRPr="006D1774">
        <w:rPr>
          <w:sz w:val="18"/>
          <w:szCs w:val="18"/>
          <w:lang w:val="pl-PL"/>
        </w:rPr>
        <w:t xml:space="preserve"> instrukcj</w:t>
      </w:r>
      <w:r>
        <w:rPr>
          <w:sz w:val="18"/>
          <w:szCs w:val="18"/>
          <w:lang w:val="pl-PL"/>
        </w:rPr>
        <w:t>e</w:t>
      </w:r>
      <w:r w:rsidRPr="006D1774">
        <w:rPr>
          <w:sz w:val="18"/>
          <w:szCs w:val="18"/>
          <w:lang w:val="pl-PL"/>
        </w:rPr>
        <w:t xml:space="preserve"> jego wypełniania w systemie informatycznym</w:t>
      </w:r>
      <w:r>
        <w:rPr>
          <w:sz w:val="18"/>
          <w:szCs w:val="18"/>
          <w:lang w:val="pl-PL"/>
        </w:rPr>
        <w:t xml:space="preserve"> znajdą się w oddzielnych Wytycznych.</w:t>
      </w:r>
    </w:p>
  </w:footnote>
  <w:footnote w:id="14">
    <w:p w:rsidR="00C522D7" w:rsidRPr="00DC47C4" w:rsidRDefault="00C522D7">
      <w:pPr>
        <w:pStyle w:val="Tekstprzypisudolnego"/>
        <w:rPr>
          <w:sz w:val="18"/>
          <w:szCs w:val="18"/>
          <w:lang w:val="pl-PL"/>
        </w:rPr>
      </w:pPr>
      <w:r w:rsidRPr="00DC47C4">
        <w:rPr>
          <w:rStyle w:val="Odwoanieprzypisudolnego"/>
          <w:sz w:val="18"/>
          <w:szCs w:val="18"/>
          <w:lang w:val="pl-PL"/>
        </w:rPr>
        <w:footnoteRef/>
      </w:r>
      <w:r w:rsidRPr="00DC47C4">
        <w:rPr>
          <w:sz w:val="18"/>
          <w:szCs w:val="18"/>
          <w:lang w:val="pl-PL"/>
        </w:rPr>
        <w:t xml:space="preserve"> Przykład: termin na przesłanie FRO jest określony na dzień 15 września 2018 r. Ten FRO obejmuje wydatki poniesione w okresie od stycznia do czerwca 2018 r. FRO został przesłany z opóźnieniem - w lipcu 2019 r., tj. ponad 12 miesięcy po zakończeniu okresu sprawozdawczego, w którym wydatki zostały poniesione, tj. od czerwca 2018 r. Wydatki poniesione w okresie od stycznia do czerwca 2018 r. uznaje się za niekwalifikowalne i anuluje zgodnie z art. 9.3.5 Regulacji. </w:t>
      </w:r>
    </w:p>
  </w:footnote>
  <w:footnote w:id="15">
    <w:p w:rsidR="00C522D7" w:rsidRPr="003459DC" w:rsidRDefault="00C522D7">
      <w:pPr>
        <w:pStyle w:val="Tekstprzypisudolnego"/>
        <w:rPr>
          <w:rStyle w:val="Odwoanieprzypisudolnego"/>
          <w:sz w:val="18"/>
          <w:szCs w:val="18"/>
          <w:lang w:val="pl-PL"/>
        </w:rPr>
      </w:pPr>
      <w:r w:rsidRPr="003459DC">
        <w:rPr>
          <w:rStyle w:val="Odwoanieprzypisudolnego"/>
          <w:sz w:val="18"/>
          <w:szCs w:val="18"/>
          <w:lang w:val="pl-PL"/>
        </w:rPr>
        <w:footnoteRef/>
      </w:r>
      <w:r w:rsidRPr="003459DC">
        <w:rPr>
          <w:rStyle w:val="Odwoanieprzypisudolnego"/>
          <w:sz w:val="18"/>
          <w:szCs w:val="18"/>
          <w:lang w:val="pl-PL"/>
        </w:rPr>
        <w:t xml:space="preserve"> </w:t>
      </w:r>
      <w:r w:rsidR="003459DC">
        <w:rPr>
          <w:sz w:val="18"/>
          <w:szCs w:val="18"/>
          <w:lang w:val="pl-PL"/>
        </w:rPr>
        <w:t xml:space="preserve">Przykład: w FRO#3 część poniesionych wydatków została wyłączona z uwagi na podejrzenie nieprawidłowości. To podejrzenie zostało wyjaśnione i kwota została uznana za kwalifikowalną, a następnie włączona w FRO#6 jako wydatek poniesiony.    </w:t>
      </w:r>
    </w:p>
    <w:p w:rsidR="00C522D7" w:rsidRPr="00AD76BC" w:rsidRDefault="00C522D7">
      <w:pPr>
        <w:pStyle w:val="Tekstprzypisudolnego"/>
        <w:rPr>
          <w:lang w:val="pl-PL"/>
        </w:rPr>
      </w:pPr>
    </w:p>
  </w:footnote>
  <w:footnote w:id="16">
    <w:p w:rsidR="00C522D7" w:rsidRPr="00265F1A" w:rsidRDefault="00C522D7" w:rsidP="00B37EF1">
      <w:pPr>
        <w:autoSpaceDE w:val="0"/>
        <w:autoSpaceDN w:val="0"/>
        <w:adjustRightInd w:val="0"/>
        <w:spacing w:after="100" w:afterAutospacing="1" w:line="240" w:lineRule="auto"/>
        <w:jc w:val="left"/>
        <w:rPr>
          <w:sz w:val="18"/>
          <w:szCs w:val="18"/>
          <w:lang w:val="pl-PL"/>
        </w:rPr>
      </w:pPr>
      <w:r w:rsidRPr="00945B0F">
        <w:rPr>
          <w:rStyle w:val="Odwoanieprzypisudolnego"/>
          <w:sz w:val="18"/>
          <w:szCs w:val="18"/>
        </w:rPr>
        <w:footnoteRef/>
      </w:r>
      <w:r w:rsidRPr="00945B0F">
        <w:rPr>
          <w:sz w:val="18"/>
          <w:szCs w:val="18"/>
          <w:lang w:val="pl-PL"/>
        </w:rPr>
        <w:t xml:space="preserve"> „Wytyczne dla państw członkowskich dotyczące weryfikacji zarządzania” KE w związku z prawem UE, w tym zamówieniami publicznymi, ochroną środowiska naturalnego i pomocą publiczną, są dostępne pod adresem:</w:t>
      </w:r>
      <w:r w:rsidRPr="00A9796C">
        <w:rPr>
          <w:sz w:val="18"/>
          <w:szCs w:val="18"/>
          <w:lang w:val="pl-PL"/>
        </w:rPr>
        <w:t xml:space="preserve"> </w:t>
      </w:r>
      <w:hyperlink r:id="rId1" w:history="1">
        <w:r w:rsidRPr="00265F1A">
          <w:rPr>
            <w:rStyle w:val="Hipercze"/>
            <w:sz w:val="18"/>
            <w:szCs w:val="18"/>
            <w:lang w:val="pl-PL"/>
          </w:rPr>
          <w:t>http://ec.europa.eu/regional_policy/sources/docgener/informat/2014/guidance_management_verifications_en.pdf</w:t>
        </w:r>
      </w:hyperlink>
      <w:r w:rsidRPr="00265F1A">
        <w:rPr>
          <w:sz w:val="18"/>
          <w:szCs w:val="18"/>
          <w:lang w:val="pl-PL"/>
        </w:rPr>
        <w:t>.</w:t>
      </w:r>
    </w:p>
    <w:p w:rsidR="00C522D7" w:rsidRPr="00265F1A" w:rsidRDefault="00C522D7" w:rsidP="00B37EF1">
      <w:pPr>
        <w:pStyle w:val="Tekstprzypisudolnego"/>
        <w:rPr>
          <w:lang w:val="pl-PL"/>
        </w:rPr>
      </w:pPr>
    </w:p>
  </w:footnote>
  <w:footnote w:id="17">
    <w:p w:rsidR="00C522D7" w:rsidRPr="00616F78" w:rsidRDefault="00C522D7">
      <w:pPr>
        <w:pStyle w:val="Tekstprzypisudolnego"/>
        <w:rPr>
          <w:lang w:val="pl-PL"/>
        </w:rPr>
      </w:pPr>
      <w:r>
        <w:rPr>
          <w:sz w:val="18"/>
          <w:szCs w:val="18"/>
          <w:lang w:val="pl-PL"/>
        </w:rPr>
        <w:t xml:space="preserve"> </w:t>
      </w:r>
      <w:r>
        <w:rPr>
          <w:rStyle w:val="Odwoanieprzypisudolnego"/>
        </w:rPr>
        <w:footnoteRef/>
      </w:r>
      <w:r>
        <w:rPr>
          <w:sz w:val="18"/>
          <w:szCs w:val="18"/>
          <w:lang w:val="pl-PL"/>
        </w:rPr>
        <w:t xml:space="preserve"> </w:t>
      </w:r>
      <w:r w:rsidRPr="00265F1A">
        <w:rPr>
          <w:sz w:val="18"/>
          <w:szCs w:val="18"/>
          <w:lang w:val="pl-PL"/>
        </w:rPr>
        <w:t xml:space="preserve">Wzór poświadczenia kosztów zgłaszanych przez partnera </w:t>
      </w:r>
      <w:r>
        <w:rPr>
          <w:sz w:val="18"/>
          <w:szCs w:val="18"/>
          <w:lang w:val="pl-PL"/>
        </w:rPr>
        <w:t>z Państw-D</w:t>
      </w:r>
      <w:r w:rsidRPr="00265F1A">
        <w:rPr>
          <w:sz w:val="18"/>
          <w:szCs w:val="18"/>
          <w:lang w:val="pl-PL"/>
        </w:rPr>
        <w:t>arczyńc</w:t>
      </w:r>
      <w:r>
        <w:rPr>
          <w:sz w:val="18"/>
          <w:szCs w:val="18"/>
          <w:lang w:val="pl-PL"/>
        </w:rPr>
        <w:t>ów</w:t>
      </w:r>
      <w:r w:rsidRPr="00265F1A">
        <w:rPr>
          <w:sz w:val="18"/>
          <w:szCs w:val="18"/>
          <w:lang w:val="pl-PL"/>
        </w:rPr>
        <w:t xml:space="preserve"> stanowi załącznik do Wytycznych dotyczących Funduszu Stosunków Dwustronnych. </w:t>
      </w:r>
      <w:r w:rsidRPr="00616F78">
        <w:rPr>
          <w:sz w:val="18"/>
          <w:szCs w:val="18"/>
          <w:lang w:val="pl-PL"/>
        </w:rPr>
        <w:t>Wzór jest także załączony do niniejszego dokumentu (załącznik 5.4).</w:t>
      </w:r>
    </w:p>
  </w:footnote>
  <w:footnote w:id="18">
    <w:p w:rsidR="00C522D7" w:rsidRPr="00616F78" w:rsidRDefault="00C522D7" w:rsidP="000A17F9">
      <w:pPr>
        <w:pStyle w:val="Tekstprzypisudolnego"/>
        <w:rPr>
          <w:lang w:val="pl-PL"/>
        </w:rPr>
      </w:pPr>
    </w:p>
  </w:footnote>
  <w:footnote w:id="19">
    <w:p w:rsidR="00C522D7" w:rsidRPr="00265F1A" w:rsidRDefault="00C522D7" w:rsidP="000A17F9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767038">
        <w:rPr>
          <w:sz w:val="18"/>
          <w:szCs w:val="18"/>
          <w:lang w:val="pl-PL"/>
        </w:rPr>
        <w:t xml:space="preserve"> Wzór poświadczenia kosztów zgłaszanych przez partnera </w:t>
      </w:r>
      <w:r>
        <w:rPr>
          <w:sz w:val="18"/>
          <w:szCs w:val="18"/>
          <w:lang w:val="pl-PL"/>
        </w:rPr>
        <w:t>z Państw-D</w:t>
      </w:r>
      <w:r w:rsidRPr="00265F1A">
        <w:rPr>
          <w:sz w:val="18"/>
          <w:szCs w:val="18"/>
          <w:lang w:val="pl-PL"/>
        </w:rPr>
        <w:t>arczyńc</w:t>
      </w:r>
      <w:r>
        <w:rPr>
          <w:sz w:val="18"/>
          <w:szCs w:val="18"/>
          <w:lang w:val="pl-PL"/>
        </w:rPr>
        <w:t>ów</w:t>
      </w:r>
      <w:r w:rsidRPr="00265F1A">
        <w:rPr>
          <w:sz w:val="18"/>
          <w:szCs w:val="18"/>
          <w:lang w:val="pl-PL"/>
        </w:rPr>
        <w:t xml:space="preserve"> </w:t>
      </w:r>
      <w:r w:rsidRPr="00767038">
        <w:rPr>
          <w:sz w:val="18"/>
          <w:szCs w:val="18"/>
          <w:lang w:val="pl-PL"/>
        </w:rPr>
        <w:t>stanowi załącznik do Wytycznych dotyczących Funduszu Stosunków Dwustronnych. Wzór jest także załączony do niniejszego dokumentu (załącznik</w:t>
      </w:r>
      <w:r w:rsidRPr="00265F1A">
        <w:rPr>
          <w:sz w:val="18"/>
          <w:szCs w:val="18"/>
          <w:lang w:val="pl-PL"/>
        </w:rPr>
        <w:t xml:space="preserve"> 5.4).</w:t>
      </w:r>
    </w:p>
  </w:footnote>
  <w:footnote w:id="20">
    <w:p w:rsidR="00C522D7" w:rsidRPr="00265F1A" w:rsidRDefault="00C522D7" w:rsidP="007B75FB">
      <w:pPr>
        <w:pStyle w:val="Tekstkomentarza"/>
        <w:rPr>
          <w:lang w:val="pl-PL"/>
        </w:rPr>
      </w:pPr>
      <w:r>
        <w:rPr>
          <w:rStyle w:val="Odwoanieprzypisudolnego"/>
        </w:rPr>
        <w:footnoteRef/>
      </w:r>
      <w:r w:rsidRPr="00265F1A">
        <w:rPr>
          <w:sz w:val="18"/>
          <w:szCs w:val="18"/>
          <w:lang w:val="pl-PL"/>
        </w:rPr>
        <w:t xml:space="preserve"> IA powinna zdefiniować najważniejsze wymagania w oparciu o wymagania regulacyjne mające zastosowanie do dofinansowania z Mechanizmu Finansowego EOG i Norweskiego Mechanizmu Finansowego.</w:t>
      </w:r>
    </w:p>
    <w:p w:rsidR="00C522D7" w:rsidRPr="00265F1A" w:rsidRDefault="00C522D7">
      <w:pPr>
        <w:pStyle w:val="Tekstprzypisudolnego"/>
        <w:rPr>
          <w:lang w:val="pl-PL"/>
        </w:rPr>
      </w:pPr>
    </w:p>
  </w:footnote>
  <w:footnote w:id="21">
    <w:p w:rsidR="00C522D7" w:rsidRPr="008334A7" w:rsidRDefault="00C522D7" w:rsidP="00F623D7">
      <w:pPr>
        <w:pStyle w:val="Tekstprzypisudolnego"/>
        <w:rPr>
          <w:sz w:val="18"/>
          <w:szCs w:val="18"/>
          <w:lang w:val="pl-PL"/>
        </w:rPr>
      </w:pPr>
      <w:r w:rsidRPr="008334A7">
        <w:rPr>
          <w:rStyle w:val="Odwoanieprzypisudolnego"/>
          <w:sz w:val="18"/>
          <w:szCs w:val="18"/>
          <w:lang w:val="pl-PL"/>
        </w:rPr>
        <w:footnoteRef/>
      </w:r>
      <w:r w:rsidRPr="008334A7">
        <w:rPr>
          <w:color w:val="000000"/>
          <w:sz w:val="18"/>
          <w:szCs w:val="18"/>
          <w:lang w:val="pl-PL"/>
        </w:rPr>
        <w:t xml:space="preserve"> W tym względzie IA powinna rozważyć Wytyczne nr 25 Europejskich Wytycznych Realizacji na potrzeby standardów rewizji finansowej INTOSAI, związanych z koncepcją wykorzystania prac innych audytorów i ekspertów przez Europejskie Najwyższe Organy Kontroli. Dalsze wytyczne są zawarte w </w:t>
      </w:r>
      <w:r>
        <w:rPr>
          <w:color w:val="000000"/>
          <w:sz w:val="18"/>
          <w:szCs w:val="18"/>
          <w:lang w:val="pl-PL"/>
        </w:rPr>
        <w:t>ISSAI</w:t>
      </w:r>
      <w:r w:rsidRPr="008334A7">
        <w:rPr>
          <w:color w:val="000000"/>
          <w:sz w:val="18"/>
          <w:szCs w:val="18"/>
          <w:lang w:val="pl-PL"/>
        </w:rPr>
        <w:t xml:space="preserve"> 1600 dotyczących audytów grup, </w:t>
      </w:r>
      <w:r>
        <w:rPr>
          <w:color w:val="000000"/>
          <w:sz w:val="18"/>
          <w:szCs w:val="18"/>
          <w:lang w:val="pl-PL"/>
        </w:rPr>
        <w:t>ISSAI</w:t>
      </w:r>
      <w:r w:rsidRPr="008334A7">
        <w:rPr>
          <w:color w:val="000000"/>
          <w:sz w:val="18"/>
          <w:szCs w:val="18"/>
          <w:lang w:val="pl-PL"/>
        </w:rPr>
        <w:t xml:space="preserve"> 1610 (w tym </w:t>
      </w:r>
      <w:r>
        <w:rPr>
          <w:color w:val="000000"/>
          <w:sz w:val="18"/>
          <w:szCs w:val="18"/>
          <w:lang w:val="pl-PL"/>
        </w:rPr>
        <w:t>ISA</w:t>
      </w:r>
      <w:r w:rsidRPr="008334A7">
        <w:rPr>
          <w:color w:val="000000"/>
          <w:sz w:val="18"/>
          <w:szCs w:val="18"/>
          <w:lang w:val="pl-PL"/>
        </w:rPr>
        <w:t xml:space="preserve"> 610) dotyczący wykorzystania pracy audytora wewnętrznego i </w:t>
      </w:r>
      <w:r>
        <w:rPr>
          <w:color w:val="000000"/>
          <w:sz w:val="18"/>
          <w:szCs w:val="18"/>
          <w:lang w:val="pl-PL"/>
        </w:rPr>
        <w:t>ISSAI</w:t>
      </w:r>
      <w:r w:rsidRPr="008334A7">
        <w:rPr>
          <w:color w:val="000000"/>
          <w:sz w:val="18"/>
          <w:szCs w:val="18"/>
          <w:lang w:val="pl-PL"/>
        </w:rPr>
        <w:t xml:space="preserve"> 620 dotyczący wykorzystania pracy eksperta audytora.</w:t>
      </w:r>
    </w:p>
  </w:footnote>
  <w:footnote w:id="22">
    <w:p w:rsidR="00C522D7" w:rsidRPr="008334A7" w:rsidRDefault="00C522D7" w:rsidP="00F833E8">
      <w:pPr>
        <w:spacing w:before="0" w:after="160"/>
        <w:rPr>
          <w:rFonts w:ascii="Arial" w:eastAsia="Times New Roman" w:hAnsi="Arial" w:cs="Arial"/>
          <w:color w:val="333333"/>
          <w:sz w:val="24"/>
          <w:szCs w:val="24"/>
          <w:lang w:val="pl-PL"/>
        </w:rPr>
      </w:pPr>
      <w:r w:rsidRPr="008334A7">
        <w:rPr>
          <w:rStyle w:val="Odwoanieprzypisudolnego"/>
          <w:lang w:val="pl-PL"/>
        </w:rPr>
        <w:footnoteRef/>
      </w:r>
      <w:r w:rsidRPr="008334A7">
        <w:rPr>
          <w:color w:val="000000"/>
          <w:sz w:val="18"/>
          <w:szCs w:val="18"/>
          <w:lang w:val="pl-PL"/>
        </w:rPr>
        <w:t xml:space="preserve"> Na przykład audytorzy decydują, że nie mogą być bezstronni lub niezależni względem kontrolowanej </w:t>
      </w:r>
      <w:r>
        <w:rPr>
          <w:color w:val="000000"/>
          <w:sz w:val="18"/>
          <w:szCs w:val="18"/>
          <w:lang w:val="pl-PL"/>
        </w:rPr>
        <w:t>instytucji</w:t>
      </w:r>
      <w:r w:rsidRPr="008334A7">
        <w:rPr>
          <w:color w:val="000000"/>
          <w:sz w:val="18"/>
          <w:szCs w:val="18"/>
          <w:lang w:val="pl-PL"/>
        </w:rPr>
        <w:t xml:space="preserve">, zakres audytu został istotnie ograniczony, dowody z audytu są niewystarczające itd. </w:t>
      </w:r>
    </w:p>
    <w:p w:rsidR="00C522D7" w:rsidRPr="00265F1A" w:rsidRDefault="00C522D7">
      <w:pPr>
        <w:pStyle w:val="Tekstprzypisudolnego"/>
        <w:rPr>
          <w:lang w:val="pl-PL"/>
        </w:rPr>
      </w:pPr>
    </w:p>
  </w:footnote>
  <w:footnote w:id="23">
    <w:p w:rsidR="00C522D7" w:rsidRPr="009145F5" w:rsidRDefault="00C522D7" w:rsidP="00C867DE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9145F5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W</w:t>
      </w:r>
      <w:r w:rsidRPr="009145F5">
        <w:rPr>
          <w:sz w:val="18"/>
          <w:szCs w:val="18"/>
          <w:lang w:val="pl-PL"/>
        </w:rPr>
        <w:t xml:space="preserve">zór </w:t>
      </w:r>
      <w:r>
        <w:rPr>
          <w:sz w:val="18"/>
          <w:szCs w:val="18"/>
          <w:lang w:val="pl-PL"/>
        </w:rPr>
        <w:t>Raportu końcowego dla programu wraz z informacjami o</w:t>
      </w:r>
      <w:r w:rsidRPr="009145F5">
        <w:rPr>
          <w:sz w:val="18"/>
          <w:szCs w:val="18"/>
          <w:lang w:val="pl-PL"/>
        </w:rPr>
        <w:t xml:space="preserve"> spos</w:t>
      </w:r>
      <w:r>
        <w:rPr>
          <w:sz w:val="18"/>
          <w:szCs w:val="18"/>
          <w:lang w:val="pl-PL"/>
        </w:rPr>
        <w:t>obie</w:t>
      </w:r>
      <w:r w:rsidRPr="009145F5">
        <w:rPr>
          <w:sz w:val="18"/>
          <w:szCs w:val="18"/>
          <w:lang w:val="pl-PL"/>
        </w:rPr>
        <w:t xml:space="preserve"> jego wypełniania w systemie informatycznym</w:t>
      </w:r>
      <w:r>
        <w:rPr>
          <w:sz w:val="18"/>
          <w:szCs w:val="18"/>
          <w:lang w:val="pl-PL"/>
        </w:rPr>
        <w:t xml:space="preserve"> będą określone w osobnych wytycznych</w:t>
      </w:r>
      <w:r w:rsidRPr="009145F5">
        <w:rPr>
          <w:sz w:val="18"/>
          <w:szCs w:val="18"/>
          <w:lang w:val="pl-PL"/>
        </w:rPr>
        <w:t>.</w:t>
      </w:r>
    </w:p>
  </w:footnote>
  <w:footnote w:id="24">
    <w:p w:rsidR="00C522D7" w:rsidRDefault="00C522D7" w:rsidP="00A0039A">
      <w:pPr>
        <w:spacing w:before="0" w:after="160"/>
        <w:jc w:val="left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DE1D0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„</w:t>
      </w:r>
      <w:r w:rsidRPr="00DE1D0A">
        <w:rPr>
          <w:sz w:val="18"/>
          <w:szCs w:val="18"/>
          <w:lang w:val="pl-PL"/>
        </w:rPr>
        <w:t>Wytyczne dotyczące przygotowania raportu końcowego z kontroli i deklaracji zamknięcia”</w:t>
      </w:r>
      <w:r>
        <w:rPr>
          <w:sz w:val="18"/>
          <w:szCs w:val="18"/>
          <w:lang w:val="pl-PL"/>
        </w:rPr>
        <w:t xml:space="preserve"> KE (załącznik IV) jest dostępny pod adresem</w:t>
      </w:r>
      <w:r w:rsidRPr="00DE1D0A">
        <w:rPr>
          <w:sz w:val="18"/>
          <w:szCs w:val="18"/>
          <w:lang w:val="pl-PL"/>
        </w:rPr>
        <w:t xml:space="preserve">: </w:t>
      </w:r>
      <w:hyperlink r:id="rId2" w:history="1">
        <w:r w:rsidRPr="008F4002">
          <w:rPr>
            <w:rStyle w:val="Hipercze"/>
            <w:sz w:val="18"/>
            <w:szCs w:val="18"/>
            <w:lang w:val="pl-PL"/>
          </w:rPr>
          <w:t>http://ec.europa.eu/regional_policy/en/information/publications/decisions/2015/adopted-guidelines-on-closure-2007-2013</w:t>
        </w:r>
      </w:hyperlink>
      <w:r>
        <w:rPr>
          <w:sz w:val="18"/>
          <w:szCs w:val="18"/>
          <w:lang w:val="pl-PL"/>
        </w:rPr>
        <w:t>.</w:t>
      </w:r>
    </w:p>
    <w:p w:rsidR="00C522D7" w:rsidRPr="00DE1D0A" w:rsidRDefault="00C522D7" w:rsidP="00A0039A">
      <w:pPr>
        <w:spacing w:before="0" w:after="160"/>
        <w:jc w:val="left"/>
        <w:rPr>
          <w:sz w:val="18"/>
          <w:szCs w:val="18"/>
          <w:lang w:val="pl-PL"/>
        </w:rPr>
      </w:pPr>
    </w:p>
  </w:footnote>
  <w:footnote w:id="25">
    <w:p w:rsidR="00C522D7" w:rsidRPr="00721128" w:rsidRDefault="00C522D7" w:rsidP="00A80796">
      <w:pPr>
        <w:pStyle w:val="Tekstprzypisudolnego"/>
        <w:rPr>
          <w:sz w:val="18"/>
          <w:szCs w:val="18"/>
          <w:lang w:val="pl-PL"/>
        </w:rPr>
      </w:pPr>
      <w:r w:rsidRPr="00721128">
        <w:rPr>
          <w:rStyle w:val="Odwoanieprzypisudolnego"/>
          <w:sz w:val="18"/>
          <w:szCs w:val="18"/>
          <w:lang w:val="pl-PL"/>
        </w:rPr>
        <w:footnoteRef/>
      </w:r>
      <w:r w:rsidRPr="00721128">
        <w:rPr>
          <w:sz w:val="18"/>
          <w:szCs w:val="18"/>
          <w:lang w:val="pl-PL"/>
        </w:rPr>
        <w:t xml:space="preserve"> Nie ma zastosowania do płatności zgodnie z art. 4.6 ust. 4 </w:t>
      </w:r>
      <w:r>
        <w:rPr>
          <w:sz w:val="18"/>
          <w:szCs w:val="18"/>
          <w:lang w:val="pl-PL"/>
        </w:rPr>
        <w:t xml:space="preserve">Regulacji </w:t>
      </w:r>
      <w:r w:rsidRPr="00721128">
        <w:rPr>
          <w:sz w:val="18"/>
          <w:szCs w:val="18"/>
          <w:lang w:val="pl-PL"/>
        </w:rPr>
        <w:t xml:space="preserve">i </w:t>
      </w:r>
      <w:r>
        <w:rPr>
          <w:sz w:val="18"/>
          <w:szCs w:val="18"/>
          <w:lang w:val="pl-PL"/>
        </w:rPr>
        <w:t xml:space="preserve">zaliczek </w:t>
      </w:r>
      <w:r w:rsidRPr="00721128">
        <w:rPr>
          <w:sz w:val="18"/>
          <w:szCs w:val="18"/>
          <w:lang w:val="pl-PL"/>
        </w:rPr>
        <w:t>w odniesieniu do kosztów związanych z przygotowaniem programów zatwierdzonych przez KMF/</w:t>
      </w:r>
      <w:r>
        <w:rPr>
          <w:sz w:val="18"/>
          <w:szCs w:val="18"/>
          <w:lang w:val="pl-PL"/>
        </w:rPr>
        <w:t>N</w:t>
      </w:r>
      <w:r w:rsidRPr="00721128">
        <w:rPr>
          <w:sz w:val="18"/>
          <w:szCs w:val="18"/>
          <w:lang w:val="pl-PL"/>
        </w:rPr>
        <w:t>MSZ zgodnie z art. 8.10 ust. 8</w:t>
      </w:r>
      <w:r>
        <w:rPr>
          <w:sz w:val="18"/>
          <w:szCs w:val="18"/>
          <w:lang w:val="pl-PL"/>
        </w:rPr>
        <w:t xml:space="preserve"> regulacji</w:t>
      </w:r>
      <w:r w:rsidRPr="00721128">
        <w:rPr>
          <w:sz w:val="18"/>
          <w:szCs w:val="18"/>
          <w:lang w:val="pl-PL"/>
        </w:rPr>
        <w:t>.</w:t>
      </w:r>
    </w:p>
  </w:footnote>
  <w:footnote w:id="26">
    <w:p w:rsidR="00C522D7" w:rsidRPr="007E73D6" w:rsidRDefault="00C522D7" w:rsidP="00042694">
      <w:pPr>
        <w:pStyle w:val="Tekstprzypisudolnego"/>
        <w:rPr>
          <w:sz w:val="18"/>
          <w:szCs w:val="18"/>
          <w:lang w:val="pl-PL"/>
        </w:rPr>
      </w:pPr>
      <w:r w:rsidRPr="007E73D6">
        <w:rPr>
          <w:rStyle w:val="Odwoanieprzypisudolnego"/>
          <w:bCs/>
          <w:sz w:val="18"/>
          <w:szCs w:val="18"/>
        </w:rPr>
        <w:footnoteRef/>
      </w:r>
      <w:r w:rsidRPr="007E73D6">
        <w:rPr>
          <w:bCs/>
          <w:sz w:val="18"/>
          <w:szCs w:val="18"/>
          <w:lang w:val="pl-PL"/>
        </w:rPr>
        <w:t xml:space="preserve"> Należy załączyć rozbicie poświadczonych kosztów w formie załącznika.</w:t>
      </w:r>
    </w:p>
  </w:footnote>
  <w:footnote w:id="27">
    <w:p w:rsidR="00C522D7" w:rsidRPr="007E73D6" w:rsidRDefault="00C522D7" w:rsidP="00042694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7E73D6">
        <w:rPr>
          <w:sz w:val="18"/>
          <w:szCs w:val="18"/>
          <w:lang w:val="pl-PL"/>
        </w:rPr>
        <w:t xml:space="preserve"> Przepis dotyczące kwalifikowalności wydatków </w:t>
      </w:r>
      <w:r>
        <w:rPr>
          <w:sz w:val="18"/>
          <w:szCs w:val="18"/>
          <w:lang w:val="pl-PL"/>
        </w:rPr>
        <w:t>zawiera</w:t>
      </w:r>
      <w:r w:rsidRPr="007E73D6">
        <w:rPr>
          <w:sz w:val="18"/>
          <w:szCs w:val="18"/>
          <w:lang w:val="pl-PL"/>
        </w:rPr>
        <w:t xml:space="preserve"> rozdział 8 rozporządzeń.</w:t>
      </w:r>
    </w:p>
  </w:footnote>
  <w:footnote w:id="28">
    <w:p w:rsidR="00C522D7" w:rsidRPr="00265F1A" w:rsidRDefault="00C522D7" w:rsidP="00042694">
      <w:pPr>
        <w:pStyle w:val="Tekstprzypisudolnego"/>
        <w:rPr>
          <w:lang w:val="pl-PL"/>
        </w:rPr>
      </w:pPr>
      <w:r>
        <w:rPr>
          <w:rStyle w:val="Odwoanieprzypisudolnego"/>
          <w:sz w:val="18"/>
          <w:szCs w:val="18"/>
        </w:rPr>
        <w:footnoteRef/>
      </w:r>
      <w:r w:rsidRPr="00265F1A">
        <w:rPr>
          <w:sz w:val="18"/>
          <w:szCs w:val="18"/>
          <w:lang w:val="pl-PL"/>
        </w:rPr>
        <w:t xml:space="preserve"> Audytor powinien posiadać kwalifikacje do przeprowadzania badań ustawowych dokumentów księgowych.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DC"/>
    <w:multiLevelType w:val="hybridMultilevel"/>
    <w:tmpl w:val="ADEEF8BC"/>
    <w:lvl w:ilvl="0" w:tplc="00C869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536"/>
    <w:multiLevelType w:val="hybridMultilevel"/>
    <w:tmpl w:val="C5B0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770"/>
    <w:multiLevelType w:val="hybridMultilevel"/>
    <w:tmpl w:val="6E342FEA"/>
    <w:lvl w:ilvl="0" w:tplc="FA7615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F63"/>
    <w:multiLevelType w:val="hybridMultilevel"/>
    <w:tmpl w:val="58728F4C"/>
    <w:lvl w:ilvl="0" w:tplc="024217C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A7002"/>
    <w:multiLevelType w:val="hybridMultilevel"/>
    <w:tmpl w:val="523E9FFE"/>
    <w:lvl w:ilvl="0" w:tplc="20A854E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6B95"/>
    <w:multiLevelType w:val="hybridMultilevel"/>
    <w:tmpl w:val="1EC6083C"/>
    <w:lvl w:ilvl="0" w:tplc="024217C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41354"/>
    <w:multiLevelType w:val="hybridMultilevel"/>
    <w:tmpl w:val="392CAF1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7">
    <w:nsid w:val="117A3BBF"/>
    <w:multiLevelType w:val="hybridMultilevel"/>
    <w:tmpl w:val="E820D938"/>
    <w:lvl w:ilvl="0" w:tplc="C4CEBA7E">
      <w:start w:val="6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A0E77"/>
    <w:multiLevelType w:val="hybridMultilevel"/>
    <w:tmpl w:val="91562C66"/>
    <w:lvl w:ilvl="0" w:tplc="08090019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CD46F5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3FF9"/>
    <w:multiLevelType w:val="hybridMultilevel"/>
    <w:tmpl w:val="E9483504"/>
    <w:lvl w:ilvl="0" w:tplc="44F0FE0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3CCC"/>
    <w:multiLevelType w:val="hybridMultilevel"/>
    <w:tmpl w:val="6004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A2F"/>
    <w:multiLevelType w:val="multilevel"/>
    <w:tmpl w:val="0088C0CC"/>
    <w:lvl w:ilvl="0">
      <w:start w:val="1"/>
      <w:numFmt w:val="decimal"/>
      <w:pStyle w:val="Nagwekspisutrec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783BD3"/>
    <w:multiLevelType w:val="hybridMultilevel"/>
    <w:tmpl w:val="F8E4DDAC"/>
    <w:lvl w:ilvl="0" w:tplc="79ECEC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F53D2"/>
    <w:multiLevelType w:val="hybridMultilevel"/>
    <w:tmpl w:val="A16E908E"/>
    <w:lvl w:ilvl="0" w:tplc="F2CC24C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05FF7"/>
    <w:multiLevelType w:val="hybridMultilevel"/>
    <w:tmpl w:val="F0F23410"/>
    <w:lvl w:ilvl="0" w:tplc="78BA1D0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27BDA"/>
    <w:multiLevelType w:val="hybridMultilevel"/>
    <w:tmpl w:val="1A4ACDC2"/>
    <w:lvl w:ilvl="0" w:tplc="6ECCF4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91565"/>
    <w:multiLevelType w:val="hybridMultilevel"/>
    <w:tmpl w:val="7AEC454A"/>
    <w:lvl w:ilvl="0" w:tplc="AF18B9C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B4EF9"/>
    <w:multiLevelType w:val="hybridMultilevel"/>
    <w:tmpl w:val="BD2276C0"/>
    <w:lvl w:ilvl="0" w:tplc="CDE41B6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425AC"/>
    <w:multiLevelType w:val="hybridMultilevel"/>
    <w:tmpl w:val="D364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1B41"/>
    <w:multiLevelType w:val="hybridMultilevel"/>
    <w:tmpl w:val="A4E2F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F48C4"/>
    <w:multiLevelType w:val="hybridMultilevel"/>
    <w:tmpl w:val="DA00EFBC"/>
    <w:lvl w:ilvl="0" w:tplc="5B3CA7F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31A7"/>
    <w:multiLevelType w:val="hybridMultilevel"/>
    <w:tmpl w:val="6A549A8A"/>
    <w:lvl w:ilvl="0" w:tplc="25B84B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4433"/>
    <w:multiLevelType w:val="hybridMultilevel"/>
    <w:tmpl w:val="7C041162"/>
    <w:lvl w:ilvl="0" w:tplc="D5FCC030">
      <w:start w:val="16"/>
      <w:numFmt w:val="bullet"/>
      <w:lvlText w:val="-"/>
      <w:lvlJc w:val="left"/>
      <w:pPr>
        <w:ind w:left="644" w:hanging="360"/>
      </w:pPr>
      <w:rPr>
        <w:rFonts w:ascii="Corbel" w:eastAsiaTheme="minorEastAsia" w:hAnsi="Corbel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6C64D1C"/>
    <w:multiLevelType w:val="hybridMultilevel"/>
    <w:tmpl w:val="D6CAA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A83790"/>
    <w:multiLevelType w:val="hybridMultilevel"/>
    <w:tmpl w:val="CAD6EC7A"/>
    <w:lvl w:ilvl="0" w:tplc="0809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D57E4"/>
    <w:multiLevelType w:val="hybridMultilevel"/>
    <w:tmpl w:val="389E90E2"/>
    <w:lvl w:ilvl="0" w:tplc="B43E33FC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6">
    <w:nsid w:val="4E5F4BE8"/>
    <w:multiLevelType w:val="hybridMultilevel"/>
    <w:tmpl w:val="80A6C2F8"/>
    <w:lvl w:ilvl="0" w:tplc="6D8AD82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AA76DDCC">
      <w:numFmt w:val="bullet"/>
      <w:lvlText w:val="-"/>
      <w:lvlJc w:val="left"/>
      <w:pPr>
        <w:ind w:left="1077" w:hanging="357"/>
      </w:pPr>
      <w:rPr>
        <w:rFonts w:ascii="Verdana" w:eastAsiaTheme="minorHAnsi" w:hAnsi="Verdana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A6C80"/>
    <w:multiLevelType w:val="hybridMultilevel"/>
    <w:tmpl w:val="DBC4ABB6"/>
    <w:lvl w:ilvl="0" w:tplc="C53E5D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4278B"/>
    <w:multiLevelType w:val="hybridMultilevel"/>
    <w:tmpl w:val="0C1027DA"/>
    <w:lvl w:ilvl="0" w:tplc="19287A6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90A13"/>
    <w:multiLevelType w:val="hybridMultilevel"/>
    <w:tmpl w:val="412CA9FC"/>
    <w:lvl w:ilvl="0" w:tplc="C120768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0669F"/>
    <w:multiLevelType w:val="hybridMultilevel"/>
    <w:tmpl w:val="C6A06D8A"/>
    <w:lvl w:ilvl="0" w:tplc="B9DEF20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A5F0F"/>
    <w:multiLevelType w:val="hybridMultilevel"/>
    <w:tmpl w:val="EAB8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311F1"/>
    <w:multiLevelType w:val="hybridMultilevel"/>
    <w:tmpl w:val="DF9A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20374"/>
    <w:multiLevelType w:val="hybridMultilevel"/>
    <w:tmpl w:val="3FF4F8A6"/>
    <w:lvl w:ilvl="0" w:tplc="DEE8062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DD06E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5B29"/>
    <w:multiLevelType w:val="hybridMultilevel"/>
    <w:tmpl w:val="DE60BADC"/>
    <w:lvl w:ilvl="0" w:tplc="7666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5170C"/>
    <w:multiLevelType w:val="multilevel"/>
    <w:tmpl w:val="9588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A5E5F99"/>
    <w:multiLevelType w:val="hybridMultilevel"/>
    <w:tmpl w:val="9E34AD98"/>
    <w:lvl w:ilvl="0" w:tplc="09A207C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01F70"/>
    <w:multiLevelType w:val="hybridMultilevel"/>
    <w:tmpl w:val="2528CAC6"/>
    <w:lvl w:ilvl="0" w:tplc="5388F732">
      <w:start w:val="1"/>
      <w:numFmt w:val="upperRoman"/>
      <w:pStyle w:val="Bullet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A0CE3"/>
    <w:multiLevelType w:val="hybridMultilevel"/>
    <w:tmpl w:val="CEE26974"/>
    <w:lvl w:ilvl="0" w:tplc="8508038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7580D"/>
    <w:multiLevelType w:val="multilevel"/>
    <w:tmpl w:val="7CD2077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851" w:hanging="851"/>
      </w:pPr>
      <w:rPr>
        <w:rFonts w:hint="default"/>
        <w:color w:val="C45911" w:themeColor="accent2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F0F5903"/>
    <w:multiLevelType w:val="hybridMultilevel"/>
    <w:tmpl w:val="B49E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E7CCD"/>
    <w:multiLevelType w:val="hybridMultilevel"/>
    <w:tmpl w:val="E23EFB4C"/>
    <w:lvl w:ilvl="0" w:tplc="7B8879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23A90"/>
    <w:multiLevelType w:val="hybridMultilevel"/>
    <w:tmpl w:val="187E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7"/>
  </w:num>
  <w:num w:numId="5">
    <w:abstractNumId w:val="24"/>
  </w:num>
  <w:num w:numId="6">
    <w:abstractNumId w:val="3"/>
  </w:num>
  <w:num w:numId="7">
    <w:abstractNumId w:val="2"/>
  </w:num>
  <w:num w:numId="8">
    <w:abstractNumId w:val="26"/>
  </w:num>
  <w:num w:numId="9">
    <w:abstractNumId w:val="28"/>
  </w:num>
  <w:num w:numId="10">
    <w:abstractNumId w:val="14"/>
  </w:num>
  <w:num w:numId="11">
    <w:abstractNumId w:val="30"/>
  </w:num>
  <w:num w:numId="12">
    <w:abstractNumId w:val="36"/>
  </w:num>
  <w:num w:numId="13">
    <w:abstractNumId w:val="20"/>
  </w:num>
  <w:num w:numId="14">
    <w:abstractNumId w:val="4"/>
  </w:num>
  <w:num w:numId="15">
    <w:abstractNumId w:val="13"/>
  </w:num>
  <w:num w:numId="16">
    <w:abstractNumId w:val="5"/>
  </w:num>
  <w:num w:numId="17">
    <w:abstractNumId w:val="41"/>
  </w:num>
  <w:num w:numId="18">
    <w:abstractNumId w:val="27"/>
  </w:num>
  <w:num w:numId="19">
    <w:abstractNumId w:val="29"/>
  </w:num>
  <w:num w:numId="20">
    <w:abstractNumId w:val="12"/>
  </w:num>
  <w:num w:numId="21">
    <w:abstractNumId w:val="38"/>
  </w:num>
  <w:num w:numId="22">
    <w:abstractNumId w:val="8"/>
  </w:num>
  <w:num w:numId="23">
    <w:abstractNumId w:val="23"/>
  </w:num>
  <w:num w:numId="24">
    <w:abstractNumId w:val="37"/>
  </w:num>
  <w:num w:numId="25">
    <w:abstractNumId w:val="11"/>
  </w:num>
  <w:num w:numId="26">
    <w:abstractNumId w:val="15"/>
  </w:num>
  <w:num w:numId="27">
    <w:abstractNumId w:val="31"/>
  </w:num>
  <w:num w:numId="28">
    <w:abstractNumId w:val="32"/>
  </w:num>
  <w:num w:numId="29">
    <w:abstractNumId w:val="42"/>
  </w:num>
  <w:num w:numId="30">
    <w:abstractNumId w:val="25"/>
  </w:num>
  <w:num w:numId="31">
    <w:abstractNumId w:val="22"/>
  </w:num>
  <w:num w:numId="32">
    <w:abstractNumId w:val="34"/>
  </w:num>
  <w:num w:numId="33">
    <w:abstractNumId w:val="39"/>
  </w:num>
  <w:num w:numId="34">
    <w:abstractNumId w:val="21"/>
  </w:num>
  <w:num w:numId="35">
    <w:abstractNumId w:val="16"/>
  </w:num>
  <w:num w:numId="36">
    <w:abstractNumId w:val="7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19"/>
  </w:num>
  <w:num w:numId="45">
    <w:abstractNumId w:val="18"/>
  </w:num>
  <w:num w:numId="46">
    <w:abstractNumId w:val="10"/>
  </w:num>
  <w:num w:numId="47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1"/>
    <w:rsid w:val="0000050F"/>
    <w:rsid w:val="00000C5C"/>
    <w:rsid w:val="00001294"/>
    <w:rsid w:val="00001338"/>
    <w:rsid w:val="00002099"/>
    <w:rsid w:val="000033A2"/>
    <w:rsid w:val="000033C4"/>
    <w:rsid w:val="00003896"/>
    <w:rsid w:val="00004553"/>
    <w:rsid w:val="0000500B"/>
    <w:rsid w:val="000055AC"/>
    <w:rsid w:val="00005B42"/>
    <w:rsid w:val="00005FC9"/>
    <w:rsid w:val="00006187"/>
    <w:rsid w:val="0000658E"/>
    <w:rsid w:val="00006F21"/>
    <w:rsid w:val="000074D5"/>
    <w:rsid w:val="0001108D"/>
    <w:rsid w:val="00011E1E"/>
    <w:rsid w:val="000121C0"/>
    <w:rsid w:val="00012E7F"/>
    <w:rsid w:val="0001333F"/>
    <w:rsid w:val="000133A6"/>
    <w:rsid w:val="000136DF"/>
    <w:rsid w:val="00014556"/>
    <w:rsid w:val="000154A7"/>
    <w:rsid w:val="00015859"/>
    <w:rsid w:val="00015BB5"/>
    <w:rsid w:val="000213C0"/>
    <w:rsid w:val="000226AE"/>
    <w:rsid w:val="00023024"/>
    <w:rsid w:val="000230A5"/>
    <w:rsid w:val="00024640"/>
    <w:rsid w:val="00024789"/>
    <w:rsid w:val="00024B93"/>
    <w:rsid w:val="00026095"/>
    <w:rsid w:val="000261F1"/>
    <w:rsid w:val="000262E9"/>
    <w:rsid w:val="00026CD2"/>
    <w:rsid w:val="000274DD"/>
    <w:rsid w:val="00027BEA"/>
    <w:rsid w:val="00030943"/>
    <w:rsid w:val="000313FE"/>
    <w:rsid w:val="00031659"/>
    <w:rsid w:val="000319C1"/>
    <w:rsid w:val="00031F10"/>
    <w:rsid w:val="00032258"/>
    <w:rsid w:val="0003370F"/>
    <w:rsid w:val="00033F94"/>
    <w:rsid w:val="00034EEF"/>
    <w:rsid w:val="0003554D"/>
    <w:rsid w:val="00036586"/>
    <w:rsid w:val="000365C0"/>
    <w:rsid w:val="000367F1"/>
    <w:rsid w:val="0003764C"/>
    <w:rsid w:val="00041913"/>
    <w:rsid w:val="00041B2D"/>
    <w:rsid w:val="00042694"/>
    <w:rsid w:val="000428F5"/>
    <w:rsid w:val="00043A63"/>
    <w:rsid w:val="00044084"/>
    <w:rsid w:val="00044469"/>
    <w:rsid w:val="00045C85"/>
    <w:rsid w:val="0004797C"/>
    <w:rsid w:val="00050710"/>
    <w:rsid w:val="000511FC"/>
    <w:rsid w:val="00051B4D"/>
    <w:rsid w:val="000526C9"/>
    <w:rsid w:val="0005321B"/>
    <w:rsid w:val="00053F66"/>
    <w:rsid w:val="0005476F"/>
    <w:rsid w:val="00054885"/>
    <w:rsid w:val="00055D4C"/>
    <w:rsid w:val="000564CF"/>
    <w:rsid w:val="0006034F"/>
    <w:rsid w:val="00061630"/>
    <w:rsid w:val="00061C13"/>
    <w:rsid w:val="00061FA2"/>
    <w:rsid w:val="00064544"/>
    <w:rsid w:val="000647E2"/>
    <w:rsid w:val="00064E35"/>
    <w:rsid w:val="0006522E"/>
    <w:rsid w:val="000660FF"/>
    <w:rsid w:val="0006735A"/>
    <w:rsid w:val="000675E1"/>
    <w:rsid w:val="00067F7A"/>
    <w:rsid w:val="000724D6"/>
    <w:rsid w:val="00072D5C"/>
    <w:rsid w:val="00073CA2"/>
    <w:rsid w:val="00075C2B"/>
    <w:rsid w:val="00076C80"/>
    <w:rsid w:val="00081116"/>
    <w:rsid w:val="00081525"/>
    <w:rsid w:val="00081B7B"/>
    <w:rsid w:val="000830E0"/>
    <w:rsid w:val="00083EEA"/>
    <w:rsid w:val="000856BE"/>
    <w:rsid w:val="00085A0D"/>
    <w:rsid w:val="0008623E"/>
    <w:rsid w:val="00086B18"/>
    <w:rsid w:val="00087907"/>
    <w:rsid w:val="00090399"/>
    <w:rsid w:val="00090A7E"/>
    <w:rsid w:val="0009153D"/>
    <w:rsid w:val="000920E8"/>
    <w:rsid w:val="000928BA"/>
    <w:rsid w:val="00092CB9"/>
    <w:rsid w:val="00093092"/>
    <w:rsid w:val="00094D10"/>
    <w:rsid w:val="00094EC1"/>
    <w:rsid w:val="00095228"/>
    <w:rsid w:val="00095DED"/>
    <w:rsid w:val="00096A1A"/>
    <w:rsid w:val="000A17F9"/>
    <w:rsid w:val="000A1F9A"/>
    <w:rsid w:val="000A2882"/>
    <w:rsid w:val="000A3539"/>
    <w:rsid w:val="000A46F3"/>
    <w:rsid w:val="000A48BA"/>
    <w:rsid w:val="000A62E9"/>
    <w:rsid w:val="000A63D8"/>
    <w:rsid w:val="000A7EC2"/>
    <w:rsid w:val="000B1B75"/>
    <w:rsid w:val="000B23EA"/>
    <w:rsid w:val="000B26AA"/>
    <w:rsid w:val="000B34A8"/>
    <w:rsid w:val="000B3BE6"/>
    <w:rsid w:val="000B415D"/>
    <w:rsid w:val="000B5D50"/>
    <w:rsid w:val="000B6E1A"/>
    <w:rsid w:val="000B7BD6"/>
    <w:rsid w:val="000B7E82"/>
    <w:rsid w:val="000C0590"/>
    <w:rsid w:val="000C05C7"/>
    <w:rsid w:val="000C0F0F"/>
    <w:rsid w:val="000C1461"/>
    <w:rsid w:val="000C58A8"/>
    <w:rsid w:val="000C61D8"/>
    <w:rsid w:val="000C6EAA"/>
    <w:rsid w:val="000D024C"/>
    <w:rsid w:val="000D0AE4"/>
    <w:rsid w:val="000D17BF"/>
    <w:rsid w:val="000D2519"/>
    <w:rsid w:val="000D3941"/>
    <w:rsid w:val="000D3A7D"/>
    <w:rsid w:val="000D3DD2"/>
    <w:rsid w:val="000D47E0"/>
    <w:rsid w:val="000D4C4C"/>
    <w:rsid w:val="000D5B8D"/>
    <w:rsid w:val="000D7D0D"/>
    <w:rsid w:val="000E0232"/>
    <w:rsid w:val="000E0B83"/>
    <w:rsid w:val="000E1235"/>
    <w:rsid w:val="000E127C"/>
    <w:rsid w:val="000E3C4A"/>
    <w:rsid w:val="000E4EB8"/>
    <w:rsid w:val="000E5964"/>
    <w:rsid w:val="000E59D5"/>
    <w:rsid w:val="000E6EB5"/>
    <w:rsid w:val="000F0F39"/>
    <w:rsid w:val="000F1CB1"/>
    <w:rsid w:val="000F1DDA"/>
    <w:rsid w:val="000F2A10"/>
    <w:rsid w:val="000F2E1C"/>
    <w:rsid w:val="001000C4"/>
    <w:rsid w:val="0010036B"/>
    <w:rsid w:val="00100536"/>
    <w:rsid w:val="001023A4"/>
    <w:rsid w:val="001032C0"/>
    <w:rsid w:val="00103B78"/>
    <w:rsid w:val="00104DF0"/>
    <w:rsid w:val="0010559C"/>
    <w:rsid w:val="00106891"/>
    <w:rsid w:val="001068DD"/>
    <w:rsid w:val="00107046"/>
    <w:rsid w:val="0010740A"/>
    <w:rsid w:val="001101B7"/>
    <w:rsid w:val="0011065F"/>
    <w:rsid w:val="00111A0D"/>
    <w:rsid w:val="00112756"/>
    <w:rsid w:val="001128F8"/>
    <w:rsid w:val="001137C5"/>
    <w:rsid w:val="00114055"/>
    <w:rsid w:val="00115052"/>
    <w:rsid w:val="001151F5"/>
    <w:rsid w:val="00116648"/>
    <w:rsid w:val="00116F13"/>
    <w:rsid w:val="0012062F"/>
    <w:rsid w:val="00120ADA"/>
    <w:rsid w:val="00120F81"/>
    <w:rsid w:val="00121721"/>
    <w:rsid w:val="00121AEC"/>
    <w:rsid w:val="001253BC"/>
    <w:rsid w:val="00125EF5"/>
    <w:rsid w:val="001260E7"/>
    <w:rsid w:val="0012618C"/>
    <w:rsid w:val="00127398"/>
    <w:rsid w:val="00130AE0"/>
    <w:rsid w:val="00130B54"/>
    <w:rsid w:val="001310A8"/>
    <w:rsid w:val="001315DE"/>
    <w:rsid w:val="00132B37"/>
    <w:rsid w:val="00132DBF"/>
    <w:rsid w:val="00133610"/>
    <w:rsid w:val="001336A8"/>
    <w:rsid w:val="00133ACE"/>
    <w:rsid w:val="00133C57"/>
    <w:rsid w:val="0013571E"/>
    <w:rsid w:val="00136470"/>
    <w:rsid w:val="00136916"/>
    <w:rsid w:val="00136FF3"/>
    <w:rsid w:val="00137B41"/>
    <w:rsid w:val="00141160"/>
    <w:rsid w:val="001411FC"/>
    <w:rsid w:val="00142DAC"/>
    <w:rsid w:val="001433EE"/>
    <w:rsid w:val="00143A7B"/>
    <w:rsid w:val="00143FBA"/>
    <w:rsid w:val="00144009"/>
    <w:rsid w:val="0014457A"/>
    <w:rsid w:val="001457A1"/>
    <w:rsid w:val="00145F04"/>
    <w:rsid w:val="00146FA1"/>
    <w:rsid w:val="00147B19"/>
    <w:rsid w:val="00147D69"/>
    <w:rsid w:val="0015031C"/>
    <w:rsid w:val="00150924"/>
    <w:rsid w:val="00150F7F"/>
    <w:rsid w:val="00151D00"/>
    <w:rsid w:val="00151DDC"/>
    <w:rsid w:val="001528D7"/>
    <w:rsid w:val="001538E0"/>
    <w:rsid w:val="00153C78"/>
    <w:rsid w:val="00154299"/>
    <w:rsid w:val="001548A7"/>
    <w:rsid w:val="00154997"/>
    <w:rsid w:val="001550C0"/>
    <w:rsid w:val="001556F8"/>
    <w:rsid w:val="00155C68"/>
    <w:rsid w:val="00157951"/>
    <w:rsid w:val="001579AF"/>
    <w:rsid w:val="0016010F"/>
    <w:rsid w:val="001614C2"/>
    <w:rsid w:val="00161A34"/>
    <w:rsid w:val="0016418E"/>
    <w:rsid w:val="00164603"/>
    <w:rsid w:val="00164DC3"/>
    <w:rsid w:val="001663DF"/>
    <w:rsid w:val="001667D3"/>
    <w:rsid w:val="001678A8"/>
    <w:rsid w:val="0017095C"/>
    <w:rsid w:val="00170BFC"/>
    <w:rsid w:val="001713C8"/>
    <w:rsid w:val="001734FB"/>
    <w:rsid w:val="00173860"/>
    <w:rsid w:val="00173FB8"/>
    <w:rsid w:val="00174FBE"/>
    <w:rsid w:val="0017531B"/>
    <w:rsid w:val="0017600B"/>
    <w:rsid w:val="001762D0"/>
    <w:rsid w:val="00176585"/>
    <w:rsid w:val="00177429"/>
    <w:rsid w:val="0018031F"/>
    <w:rsid w:val="001808AF"/>
    <w:rsid w:val="00181727"/>
    <w:rsid w:val="00181D99"/>
    <w:rsid w:val="00181F88"/>
    <w:rsid w:val="0018265C"/>
    <w:rsid w:val="001826AC"/>
    <w:rsid w:val="00182CB4"/>
    <w:rsid w:val="00183011"/>
    <w:rsid w:val="001872E6"/>
    <w:rsid w:val="00187C2F"/>
    <w:rsid w:val="00191248"/>
    <w:rsid w:val="00191EB2"/>
    <w:rsid w:val="001925C0"/>
    <w:rsid w:val="00192F84"/>
    <w:rsid w:val="0019555A"/>
    <w:rsid w:val="0019559E"/>
    <w:rsid w:val="0019595E"/>
    <w:rsid w:val="00196E37"/>
    <w:rsid w:val="00197A49"/>
    <w:rsid w:val="00197A86"/>
    <w:rsid w:val="00197ED3"/>
    <w:rsid w:val="001A05D8"/>
    <w:rsid w:val="001A0955"/>
    <w:rsid w:val="001A0AE4"/>
    <w:rsid w:val="001A4A3B"/>
    <w:rsid w:val="001A72E9"/>
    <w:rsid w:val="001A7C35"/>
    <w:rsid w:val="001B0AC8"/>
    <w:rsid w:val="001B2932"/>
    <w:rsid w:val="001B2B3C"/>
    <w:rsid w:val="001B32ED"/>
    <w:rsid w:val="001B3CE1"/>
    <w:rsid w:val="001B470E"/>
    <w:rsid w:val="001B543E"/>
    <w:rsid w:val="001B56CF"/>
    <w:rsid w:val="001B5E3B"/>
    <w:rsid w:val="001B66FE"/>
    <w:rsid w:val="001B6DE0"/>
    <w:rsid w:val="001B741C"/>
    <w:rsid w:val="001B78F6"/>
    <w:rsid w:val="001B796A"/>
    <w:rsid w:val="001C07BE"/>
    <w:rsid w:val="001C189C"/>
    <w:rsid w:val="001C207E"/>
    <w:rsid w:val="001C31F3"/>
    <w:rsid w:val="001C3A07"/>
    <w:rsid w:val="001C3DD0"/>
    <w:rsid w:val="001C51DA"/>
    <w:rsid w:val="001C555E"/>
    <w:rsid w:val="001C5681"/>
    <w:rsid w:val="001C5DA1"/>
    <w:rsid w:val="001D0157"/>
    <w:rsid w:val="001D1275"/>
    <w:rsid w:val="001D18FE"/>
    <w:rsid w:val="001D1A96"/>
    <w:rsid w:val="001D2B22"/>
    <w:rsid w:val="001D2C38"/>
    <w:rsid w:val="001D2E3B"/>
    <w:rsid w:val="001D34BC"/>
    <w:rsid w:val="001D4FFC"/>
    <w:rsid w:val="001D500E"/>
    <w:rsid w:val="001D5D4A"/>
    <w:rsid w:val="001D6470"/>
    <w:rsid w:val="001D71E1"/>
    <w:rsid w:val="001E0486"/>
    <w:rsid w:val="001E2EC3"/>
    <w:rsid w:val="001E3875"/>
    <w:rsid w:val="001E41C2"/>
    <w:rsid w:val="001E43EA"/>
    <w:rsid w:val="001E5526"/>
    <w:rsid w:val="001E5852"/>
    <w:rsid w:val="001E6225"/>
    <w:rsid w:val="001E6CD8"/>
    <w:rsid w:val="001F046E"/>
    <w:rsid w:val="001F1D11"/>
    <w:rsid w:val="001F3A27"/>
    <w:rsid w:val="002000F2"/>
    <w:rsid w:val="0020018A"/>
    <w:rsid w:val="00200776"/>
    <w:rsid w:val="00200B01"/>
    <w:rsid w:val="0020168A"/>
    <w:rsid w:val="00201A00"/>
    <w:rsid w:val="002037F6"/>
    <w:rsid w:val="002060E6"/>
    <w:rsid w:val="002061D8"/>
    <w:rsid w:val="00207D8A"/>
    <w:rsid w:val="002108B0"/>
    <w:rsid w:val="00211D94"/>
    <w:rsid w:val="00211FCD"/>
    <w:rsid w:val="002122B6"/>
    <w:rsid w:val="00212C8A"/>
    <w:rsid w:val="00212E5A"/>
    <w:rsid w:val="00213206"/>
    <w:rsid w:val="002142C1"/>
    <w:rsid w:val="00215C6F"/>
    <w:rsid w:val="00215E29"/>
    <w:rsid w:val="00216DF2"/>
    <w:rsid w:val="00216F5D"/>
    <w:rsid w:val="00222112"/>
    <w:rsid w:val="00224E1A"/>
    <w:rsid w:val="00225E99"/>
    <w:rsid w:val="00226D5C"/>
    <w:rsid w:val="0022718E"/>
    <w:rsid w:val="00230694"/>
    <w:rsid w:val="00230C5D"/>
    <w:rsid w:val="00231058"/>
    <w:rsid w:val="00231154"/>
    <w:rsid w:val="00232A9A"/>
    <w:rsid w:val="00233432"/>
    <w:rsid w:val="00233533"/>
    <w:rsid w:val="00233A82"/>
    <w:rsid w:val="00233AD8"/>
    <w:rsid w:val="00234DE9"/>
    <w:rsid w:val="00234E0D"/>
    <w:rsid w:val="00235336"/>
    <w:rsid w:val="002357A4"/>
    <w:rsid w:val="002363D5"/>
    <w:rsid w:val="002367C7"/>
    <w:rsid w:val="00236C8F"/>
    <w:rsid w:val="00236DF9"/>
    <w:rsid w:val="00237248"/>
    <w:rsid w:val="0023779F"/>
    <w:rsid w:val="0023791F"/>
    <w:rsid w:val="00242AEF"/>
    <w:rsid w:val="00243CDE"/>
    <w:rsid w:val="0024407D"/>
    <w:rsid w:val="002445CA"/>
    <w:rsid w:val="00244B3A"/>
    <w:rsid w:val="002450C5"/>
    <w:rsid w:val="002458C7"/>
    <w:rsid w:val="002458DB"/>
    <w:rsid w:val="00246819"/>
    <w:rsid w:val="002472F2"/>
    <w:rsid w:val="00247741"/>
    <w:rsid w:val="00247833"/>
    <w:rsid w:val="002502FD"/>
    <w:rsid w:val="00250384"/>
    <w:rsid w:val="00250452"/>
    <w:rsid w:val="002505F7"/>
    <w:rsid w:val="002512C3"/>
    <w:rsid w:val="002520B1"/>
    <w:rsid w:val="002530A6"/>
    <w:rsid w:val="0025335E"/>
    <w:rsid w:val="00253AA0"/>
    <w:rsid w:val="00254720"/>
    <w:rsid w:val="00254B07"/>
    <w:rsid w:val="00256489"/>
    <w:rsid w:val="00256559"/>
    <w:rsid w:val="002565E3"/>
    <w:rsid w:val="00256BE8"/>
    <w:rsid w:val="00257E90"/>
    <w:rsid w:val="00261C5C"/>
    <w:rsid w:val="0026324B"/>
    <w:rsid w:val="00263E48"/>
    <w:rsid w:val="00264770"/>
    <w:rsid w:val="00264CD7"/>
    <w:rsid w:val="00264FA3"/>
    <w:rsid w:val="0026548E"/>
    <w:rsid w:val="00265750"/>
    <w:rsid w:val="00265F1A"/>
    <w:rsid w:val="00270312"/>
    <w:rsid w:val="00270B9D"/>
    <w:rsid w:val="00271DA1"/>
    <w:rsid w:val="00272B30"/>
    <w:rsid w:val="0027466E"/>
    <w:rsid w:val="00277660"/>
    <w:rsid w:val="0027771A"/>
    <w:rsid w:val="00280278"/>
    <w:rsid w:val="00281423"/>
    <w:rsid w:val="00283FDC"/>
    <w:rsid w:val="0028414F"/>
    <w:rsid w:val="00284DC0"/>
    <w:rsid w:val="00284FB3"/>
    <w:rsid w:val="0028619D"/>
    <w:rsid w:val="002861AB"/>
    <w:rsid w:val="00286E87"/>
    <w:rsid w:val="0028776B"/>
    <w:rsid w:val="00287C1A"/>
    <w:rsid w:val="002900B5"/>
    <w:rsid w:val="00293F5F"/>
    <w:rsid w:val="00294F5E"/>
    <w:rsid w:val="0029523E"/>
    <w:rsid w:val="00295C85"/>
    <w:rsid w:val="00295D2D"/>
    <w:rsid w:val="00295ECD"/>
    <w:rsid w:val="0029659F"/>
    <w:rsid w:val="00296CF8"/>
    <w:rsid w:val="00297649"/>
    <w:rsid w:val="002A0AE4"/>
    <w:rsid w:val="002A1165"/>
    <w:rsid w:val="002A32DE"/>
    <w:rsid w:val="002A3E97"/>
    <w:rsid w:val="002A558C"/>
    <w:rsid w:val="002A6034"/>
    <w:rsid w:val="002A6D3C"/>
    <w:rsid w:val="002A70EE"/>
    <w:rsid w:val="002A7131"/>
    <w:rsid w:val="002A7203"/>
    <w:rsid w:val="002A78B0"/>
    <w:rsid w:val="002B0615"/>
    <w:rsid w:val="002B2192"/>
    <w:rsid w:val="002B226E"/>
    <w:rsid w:val="002B3FD2"/>
    <w:rsid w:val="002B501A"/>
    <w:rsid w:val="002B525E"/>
    <w:rsid w:val="002B5B80"/>
    <w:rsid w:val="002B73E4"/>
    <w:rsid w:val="002B7CA4"/>
    <w:rsid w:val="002C0499"/>
    <w:rsid w:val="002C2FF7"/>
    <w:rsid w:val="002C3373"/>
    <w:rsid w:val="002C3451"/>
    <w:rsid w:val="002C36EA"/>
    <w:rsid w:val="002C3C0B"/>
    <w:rsid w:val="002C6E2E"/>
    <w:rsid w:val="002C7010"/>
    <w:rsid w:val="002C738B"/>
    <w:rsid w:val="002C7C33"/>
    <w:rsid w:val="002D013A"/>
    <w:rsid w:val="002D0503"/>
    <w:rsid w:val="002D10ED"/>
    <w:rsid w:val="002D1D6D"/>
    <w:rsid w:val="002D304C"/>
    <w:rsid w:val="002D3A1A"/>
    <w:rsid w:val="002D3AAD"/>
    <w:rsid w:val="002D59AC"/>
    <w:rsid w:val="002D5A88"/>
    <w:rsid w:val="002D66A0"/>
    <w:rsid w:val="002D7774"/>
    <w:rsid w:val="002D7AE2"/>
    <w:rsid w:val="002E277A"/>
    <w:rsid w:val="002E3747"/>
    <w:rsid w:val="002E4043"/>
    <w:rsid w:val="002E4A43"/>
    <w:rsid w:val="002E5982"/>
    <w:rsid w:val="002E5F37"/>
    <w:rsid w:val="002E66AA"/>
    <w:rsid w:val="002E78A8"/>
    <w:rsid w:val="002E7DAF"/>
    <w:rsid w:val="002F1355"/>
    <w:rsid w:val="002F174C"/>
    <w:rsid w:val="002F1E95"/>
    <w:rsid w:val="002F2F55"/>
    <w:rsid w:val="002F3B2F"/>
    <w:rsid w:val="002F4226"/>
    <w:rsid w:val="002F510C"/>
    <w:rsid w:val="002F5F15"/>
    <w:rsid w:val="002F5F8A"/>
    <w:rsid w:val="002F6028"/>
    <w:rsid w:val="002F619E"/>
    <w:rsid w:val="002F7239"/>
    <w:rsid w:val="00301033"/>
    <w:rsid w:val="0030157E"/>
    <w:rsid w:val="00301C24"/>
    <w:rsid w:val="00305626"/>
    <w:rsid w:val="00305EFB"/>
    <w:rsid w:val="00305F54"/>
    <w:rsid w:val="003076CE"/>
    <w:rsid w:val="00307749"/>
    <w:rsid w:val="00307F0A"/>
    <w:rsid w:val="0031001E"/>
    <w:rsid w:val="0031028D"/>
    <w:rsid w:val="0031033E"/>
    <w:rsid w:val="00310C79"/>
    <w:rsid w:val="00311641"/>
    <w:rsid w:val="0031299C"/>
    <w:rsid w:val="003134A1"/>
    <w:rsid w:val="003146B8"/>
    <w:rsid w:val="00314C9D"/>
    <w:rsid w:val="00315981"/>
    <w:rsid w:val="0031680F"/>
    <w:rsid w:val="003210CF"/>
    <w:rsid w:val="00321CD6"/>
    <w:rsid w:val="00321E47"/>
    <w:rsid w:val="0032325B"/>
    <w:rsid w:val="003240B2"/>
    <w:rsid w:val="00324783"/>
    <w:rsid w:val="0032486C"/>
    <w:rsid w:val="00325105"/>
    <w:rsid w:val="003253A6"/>
    <w:rsid w:val="00325D81"/>
    <w:rsid w:val="00327E28"/>
    <w:rsid w:val="00327FCA"/>
    <w:rsid w:val="00331AEE"/>
    <w:rsid w:val="00331D94"/>
    <w:rsid w:val="00331F10"/>
    <w:rsid w:val="0033438B"/>
    <w:rsid w:val="00336927"/>
    <w:rsid w:val="00337D33"/>
    <w:rsid w:val="003420F5"/>
    <w:rsid w:val="00342A3E"/>
    <w:rsid w:val="003430F3"/>
    <w:rsid w:val="00343C53"/>
    <w:rsid w:val="0034409B"/>
    <w:rsid w:val="003459DC"/>
    <w:rsid w:val="00347767"/>
    <w:rsid w:val="003501F4"/>
    <w:rsid w:val="00350734"/>
    <w:rsid w:val="00352272"/>
    <w:rsid w:val="003535E5"/>
    <w:rsid w:val="00353845"/>
    <w:rsid w:val="00353D99"/>
    <w:rsid w:val="00354011"/>
    <w:rsid w:val="00354F44"/>
    <w:rsid w:val="00355108"/>
    <w:rsid w:val="00356202"/>
    <w:rsid w:val="003564E2"/>
    <w:rsid w:val="00357392"/>
    <w:rsid w:val="003604CE"/>
    <w:rsid w:val="0036196F"/>
    <w:rsid w:val="0036287E"/>
    <w:rsid w:val="00362FCB"/>
    <w:rsid w:val="0036399A"/>
    <w:rsid w:val="00366936"/>
    <w:rsid w:val="00370288"/>
    <w:rsid w:val="00370A72"/>
    <w:rsid w:val="0037210D"/>
    <w:rsid w:val="003724DF"/>
    <w:rsid w:val="00373437"/>
    <w:rsid w:val="003735FC"/>
    <w:rsid w:val="003737CA"/>
    <w:rsid w:val="0037392A"/>
    <w:rsid w:val="00373B31"/>
    <w:rsid w:val="00373B92"/>
    <w:rsid w:val="00374275"/>
    <w:rsid w:val="00374C2F"/>
    <w:rsid w:val="0037541D"/>
    <w:rsid w:val="00376033"/>
    <w:rsid w:val="0037617F"/>
    <w:rsid w:val="00376576"/>
    <w:rsid w:val="00376701"/>
    <w:rsid w:val="003769CF"/>
    <w:rsid w:val="0037794F"/>
    <w:rsid w:val="00380FEE"/>
    <w:rsid w:val="00381A2C"/>
    <w:rsid w:val="00381AC3"/>
    <w:rsid w:val="00381AF3"/>
    <w:rsid w:val="00382F59"/>
    <w:rsid w:val="003838CE"/>
    <w:rsid w:val="00383EC4"/>
    <w:rsid w:val="00384E5A"/>
    <w:rsid w:val="00385917"/>
    <w:rsid w:val="00386D12"/>
    <w:rsid w:val="003909F0"/>
    <w:rsid w:val="00391445"/>
    <w:rsid w:val="0039197E"/>
    <w:rsid w:val="00394CA3"/>
    <w:rsid w:val="003950D0"/>
    <w:rsid w:val="003955E2"/>
    <w:rsid w:val="00395644"/>
    <w:rsid w:val="00397126"/>
    <w:rsid w:val="003A09D4"/>
    <w:rsid w:val="003A177A"/>
    <w:rsid w:val="003A1AA5"/>
    <w:rsid w:val="003A1E3E"/>
    <w:rsid w:val="003A24C2"/>
    <w:rsid w:val="003A3C93"/>
    <w:rsid w:val="003A3C9C"/>
    <w:rsid w:val="003A3D60"/>
    <w:rsid w:val="003A4DDF"/>
    <w:rsid w:val="003A5418"/>
    <w:rsid w:val="003A56AA"/>
    <w:rsid w:val="003A5BAD"/>
    <w:rsid w:val="003A5F66"/>
    <w:rsid w:val="003A66B3"/>
    <w:rsid w:val="003A6B3B"/>
    <w:rsid w:val="003A6DB3"/>
    <w:rsid w:val="003B158D"/>
    <w:rsid w:val="003B2421"/>
    <w:rsid w:val="003B3150"/>
    <w:rsid w:val="003B3586"/>
    <w:rsid w:val="003B3C23"/>
    <w:rsid w:val="003B4070"/>
    <w:rsid w:val="003B4644"/>
    <w:rsid w:val="003B50B0"/>
    <w:rsid w:val="003B5C3F"/>
    <w:rsid w:val="003B5E76"/>
    <w:rsid w:val="003B6467"/>
    <w:rsid w:val="003B7225"/>
    <w:rsid w:val="003B756B"/>
    <w:rsid w:val="003B7649"/>
    <w:rsid w:val="003B76E8"/>
    <w:rsid w:val="003C13A4"/>
    <w:rsid w:val="003C1879"/>
    <w:rsid w:val="003C1C0C"/>
    <w:rsid w:val="003C2C08"/>
    <w:rsid w:val="003C31F0"/>
    <w:rsid w:val="003C4B7A"/>
    <w:rsid w:val="003C506D"/>
    <w:rsid w:val="003C5111"/>
    <w:rsid w:val="003C6A95"/>
    <w:rsid w:val="003D00DA"/>
    <w:rsid w:val="003D0236"/>
    <w:rsid w:val="003D128E"/>
    <w:rsid w:val="003D13ED"/>
    <w:rsid w:val="003D30F1"/>
    <w:rsid w:val="003D33F8"/>
    <w:rsid w:val="003D34E8"/>
    <w:rsid w:val="003D3C29"/>
    <w:rsid w:val="003D45CD"/>
    <w:rsid w:val="003D4B01"/>
    <w:rsid w:val="003D50B9"/>
    <w:rsid w:val="003D7F3C"/>
    <w:rsid w:val="003E0A42"/>
    <w:rsid w:val="003E149F"/>
    <w:rsid w:val="003E22D1"/>
    <w:rsid w:val="003E246C"/>
    <w:rsid w:val="003E2730"/>
    <w:rsid w:val="003E2C3E"/>
    <w:rsid w:val="003E541E"/>
    <w:rsid w:val="003E5754"/>
    <w:rsid w:val="003E5868"/>
    <w:rsid w:val="003E5D80"/>
    <w:rsid w:val="003E5FF1"/>
    <w:rsid w:val="003E6123"/>
    <w:rsid w:val="003E72FE"/>
    <w:rsid w:val="003F1DC7"/>
    <w:rsid w:val="003F3000"/>
    <w:rsid w:val="003F3C10"/>
    <w:rsid w:val="003F431B"/>
    <w:rsid w:val="003F4447"/>
    <w:rsid w:val="003F454F"/>
    <w:rsid w:val="003F4CD7"/>
    <w:rsid w:val="003F4FAD"/>
    <w:rsid w:val="003F5025"/>
    <w:rsid w:val="003F5FAF"/>
    <w:rsid w:val="003F733E"/>
    <w:rsid w:val="003F7BCD"/>
    <w:rsid w:val="004005B1"/>
    <w:rsid w:val="00401168"/>
    <w:rsid w:val="004017EF"/>
    <w:rsid w:val="00401C1F"/>
    <w:rsid w:val="00401E62"/>
    <w:rsid w:val="00402549"/>
    <w:rsid w:val="00402C3E"/>
    <w:rsid w:val="00402C95"/>
    <w:rsid w:val="00402ED0"/>
    <w:rsid w:val="00402EF0"/>
    <w:rsid w:val="00403653"/>
    <w:rsid w:val="004067F1"/>
    <w:rsid w:val="00406F10"/>
    <w:rsid w:val="0041130C"/>
    <w:rsid w:val="00412044"/>
    <w:rsid w:val="00413595"/>
    <w:rsid w:val="004137F1"/>
    <w:rsid w:val="00413D05"/>
    <w:rsid w:val="00417213"/>
    <w:rsid w:val="004176FC"/>
    <w:rsid w:val="00420099"/>
    <w:rsid w:val="0042085A"/>
    <w:rsid w:val="00420862"/>
    <w:rsid w:val="00420CF7"/>
    <w:rsid w:val="00420EB1"/>
    <w:rsid w:val="0042154E"/>
    <w:rsid w:val="0042179F"/>
    <w:rsid w:val="004218D6"/>
    <w:rsid w:val="00421B31"/>
    <w:rsid w:val="00421B3D"/>
    <w:rsid w:val="00424613"/>
    <w:rsid w:val="004257B1"/>
    <w:rsid w:val="00427039"/>
    <w:rsid w:val="00427C86"/>
    <w:rsid w:val="00431236"/>
    <w:rsid w:val="004314D5"/>
    <w:rsid w:val="00431687"/>
    <w:rsid w:val="00431D62"/>
    <w:rsid w:val="00432705"/>
    <w:rsid w:val="00432767"/>
    <w:rsid w:val="004327A2"/>
    <w:rsid w:val="00432CF5"/>
    <w:rsid w:val="0043330F"/>
    <w:rsid w:val="0043368B"/>
    <w:rsid w:val="00433A21"/>
    <w:rsid w:val="00434907"/>
    <w:rsid w:val="00435490"/>
    <w:rsid w:val="004355F6"/>
    <w:rsid w:val="0043664E"/>
    <w:rsid w:val="0043731A"/>
    <w:rsid w:val="004379FE"/>
    <w:rsid w:val="00437D67"/>
    <w:rsid w:val="00437E6D"/>
    <w:rsid w:val="004402B6"/>
    <w:rsid w:val="004402FB"/>
    <w:rsid w:val="00441034"/>
    <w:rsid w:val="004413B5"/>
    <w:rsid w:val="00442303"/>
    <w:rsid w:val="00442F1E"/>
    <w:rsid w:val="004439F6"/>
    <w:rsid w:val="00444341"/>
    <w:rsid w:val="0044690A"/>
    <w:rsid w:val="00446DC6"/>
    <w:rsid w:val="00447321"/>
    <w:rsid w:val="004476B3"/>
    <w:rsid w:val="0045072E"/>
    <w:rsid w:val="004511A6"/>
    <w:rsid w:val="0045313B"/>
    <w:rsid w:val="004549BC"/>
    <w:rsid w:val="00454F09"/>
    <w:rsid w:val="004556C5"/>
    <w:rsid w:val="00455781"/>
    <w:rsid w:val="00455995"/>
    <w:rsid w:val="0045681F"/>
    <w:rsid w:val="004569FE"/>
    <w:rsid w:val="00456B01"/>
    <w:rsid w:val="0045770B"/>
    <w:rsid w:val="00457F18"/>
    <w:rsid w:val="004608DE"/>
    <w:rsid w:val="00461068"/>
    <w:rsid w:val="004616E8"/>
    <w:rsid w:val="0046370B"/>
    <w:rsid w:val="00464D5F"/>
    <w:rsid w:val="00465979"/>
    <w:rsid w:val="00465F20"/>
    <w:rsid w:val="00467124"/>
    <w:rsid w:val="0047027C"/>
    <w:rsid w:val="00470BBE"/>
    <w:rsid w:val="00472D97"/>
    <w:rsid w:val="00476099"/>
    <w:rsid w:val="004762F7"/>
    <w:rsid w:val="0047664C"/>
    <w:rsid w:val="004769AF"/>
    <w:rsid w:val="00476B95"/>
    <w:rsid w:val="00476B9B"/>
    <w:rsid w:val="00476BDF"/>
    <w:rsid w:val="00477423"/>
    <w:rsid w:val="004778BF"/>
    <w:rsid w:val="00477DB3"/>
    <w:rsid w:val="00480919"/>
    <w:rsid w:val="00480E64"/>
    <w:rsid w:val="00481F9D"/>
    <w:rsid w:val="004832BA"/>
    <w:rsid w:val="004833AE"/>
    <w:rsid w:val="004834F8"/>
    <w:rsid w:val="0048443C"/>
    <w:rsid w:val="00484474"/>
    <w:rsid w:val="00484DBC"/>
    <w:rsid w:val="00486649"/>
    <w:rsid w:val="004874DC"/>
    <w:rsid w:val="0049008E"/>
    <w:rsid w:val="0049030C"/>
    <w:rsid w:val="0049108E"/>
    <w:rsid w:val="00492E1B"/>
    <w:rsid w:val="00492EE1"/>
    <w:rsid w:val="004937BF"/>
    <w:rsid w:val="00495097"/>
    <w:rsid w:val="00495BA7"/>
    <w:rsid w:val="00495BEA"/>
    <w:rsid w:val="0049771D"/>
    <w:rsid w:val="00497B9D"/>
    <w:rsid w:val="004A0F05"/>
    <w:rsid w:val="004A2011"/>
    <w:rsid w:val="004A2E30"/>
    <w:rsid w:val="004A31C5"/>
    <w:rsid w:val="004A3BB2"/>
    <w:rsid w:val="004A612F"/>
    <w:rsid w:val="004A7E86"/>
    <w:rsid w:val="004B0209"/>
    <w:rsid w:val="004B0868"/>
    <w:rsid w:val="004B1358"/>
    <w:rsid w:val="004B18EE"/>
    <w:rsid w:val="004B1CDC"/>
    <w:rsid w:val="004B25D9"/>
    <w:rsid w:val="004B28B3"/>
    <w:rsid w:val="004B35BD"/>
    <w:rsid w:val="004B3A83"/>
    <w:rsid w:val="004B4D69"/>
    <w:rsid w:val="004B6006"/>
    <w:rsid w:val="004B6D21"/>
    <w:rsid w:val="004B741D"/>
    <w:rsid w:val="004B7AFA"/>
    <w:rsid w:val="004C0A63"/>
    <w:rsid w:val="004C3033"/>
    <w:rsid w:val="004C38E2"/>
    <w:rsid w:val="004C4067"/>
    <w:rsid w:val="004C4DB9"/>
    <w:rsid w:val="004C5EE7"/>
    <w:rsid w:val="004D181B"/>
    <w:rsid w:val="004D253E"/>
    <w:rsid w:val="004D3637"/>
    <w:rsid w:val="004D3D20"/>
    <w:rsid w:val="004D7BF1"/>
    <w:rsid w:val="004E11B3"/>
    <w:rsid w:val="004E1E9A"/>
    <w:rsid w:val="004E3490"/>
    <w:rsid w:val="004E3C0C"/>
    <w:rsid w:val="004E4346"/>
    <w:rsid w:val="004E51A0"/>
    <w:rsid w:val="004E5539"/>
    <w:rsid w:val="004E5995"/>
    <w:rsid w:val="004F058D"/>
    <w:rsid w:val="004F1032"/>
    <w:rsid w:val="004F106D"/>
    <w:rsid w:val="004F151A"/>
    <w:rsid w:val="004F1DFF"/>
    <w:rsid w:val="004F2613"/>
    <w:rsid w:val="004F2EDC"/>
    <w:rsid w:val="004F383D"/>
    <w:rsid w:val="004F4E01"/>
    <w:rsid w:val="004F55D4"/>
    <w:rsid w:val="004F5A10"/>
    <w:rsid w:val="004F67F8"/>
    <w:rsid w:val="004F6DC1"/>
    <w:rsid w:val="004F73D6"/>
    <w:rsid w:val="004F7763"/>
    <w:rsid w:val="004F7B65"/>
    <w:rsid w:val="005026A2"/>
    <w:rsid w:val="00503207"/>
    <w:rsid w:val="00503781"/>
    <w:rsid w:val="00503E5D"/>
    <w:rsid w:val="00504466"/>
    <w:rsid w:val="005054FB"/>
    <w:rsid w:val="00505869"/>
    <w:rsid w:val="00506A1D"/>
    <w:rsid w:val="005070C3"/>
    <w:rsid w:val="00511069"/>
    <w:rsid w:val="0051121A"/>
    <w:rsid w:val="0051134D"/>
    <w:rsid w:val="00511A6C"/>
    <w:rsid w:val="00511C4C"/>
    <w:rsid w:val="005129B6"/>
    <w:rsid w:val="00513AF4"/>
    <w:rsid w:val="00513F1E"/>
    <w:rsid w:val="0051483D"/>
    <w:rsid w:val="005155FE"/>
    <w:rsid w:val="0051634B"/>
    <w:rsid w:val="0051659D"/>
    <w:rsid w:val="005172C1"/>
    <w:rsid w:val="00521C63"/>
    <w:rsid w:val="00522378"/>
    <w:rsid w:val="0052268C"/>
    <w:rsid w:val="00523B11"/>
    <w:rsid w:val="00524091"/>
    <w:rsid w:val="005252F1"/>
    <w:rsid w:val="00525672"/>
    <w:rsid w:val="00526528"/>
    <w:rsid w:val="00526632"/>
    <w:rsid w:val="005270B8"/>
    <w:rsid w:val="00527903"/>
    <w:rsid w:val="00530567"/>
    <w:rsid w:val="0053068F"/>
    <w:rsid w:val="00531CEC"/>
    <w:rsid w:val="0053237A"/>
    <w:rsid w:val="005323B2"/>
    <w:rsid w:val="005327FC"/>
    <w:rsid w:val="00532A66"/>
    <w:rsid w:val="0053304A"/>
    <w:rsid w:val="005331F7"/>
    <w:rsid w:val="00533782"/>
    <w:rsid w:val="0053427A"/>
    <w:rsid w:val="0053619D"/>
    <w:rsid w:val="00536EBA"/>
    <w:rsid w:val="005418B4"/>
    <w:rsid w:val="00541A21"/>
    <w:rsid w:val="005421D7"/>
    <w:rsid w:val="00543508"/>
    <w:rsid w:val="0054428E"/>
    <w:rsid w:val="00545587"/>
    <w:rsid w:val="005468B0"/>
    <w:rsid w:val="0055016E"/>
    <w:rsid w:val="00550B8E"/>
    <w:rsid w:val="0055114F"/>
    <w:rsid w:val="0055125D"/>
    <w:rsid w:val="00553571"/>
    <w:rsid w:val="00554396"/>
    <w:rsid w:val="00555226"/>
    <w:rsid w:val="005555C7"/>
    <w:rsid w:val="005556B0"/>
    <w:rsid w:val="00555B9A"/>
    <w:rsid w:val="00555CDD"/>
    <w:rsid w:val="00556FFB"/>
    <w:rsid w:val="00557DF3"/>
    <w:rsid w:val="00560C86"/>
    <w:rsid w:val="00561139"/>
    <w:rsid w:val="00562A13"/>
    <w:rsid w:val="00562DC1"/>
    <w:rsid w:val="005632F0"/>
    <w:rsid w:val="00564F47"/>
    <w:rsid w:val="005664BB"/>
    <w:rsid w:val="005673AC"/>
    <w:rsid w:val="00567C25"/>
    <w:rsid w:val="005701CD"/>
    <w:rsid w:val="005709CB"/>
    <w:rsid w:val="005709FE"/>
    <w:rsid w:val="00570AAE"/>
    <w:rsid w:val="00570C7A"/>
    <w:rsid w:val="00570D55"/>
    <w:rsid w:val="00570DEA"/>
    <w:rsid w:val="00570F55"/>
    <w:rsid w:val="00571B61"/>
    <w:rsid w:val="00572366"/>
    <w:rsid w:val="005724A4"/>
    <w:rsid w:val="005744CA"/>
    <w:rsid w:val="0057571D"/>
    <w:rsid w:val="005765FD"/>
    <w:rsid w:val="00577678"/>
    <w:rsid w:val="00580250"/>
    <w:rsid w:val="0058072A"/>
    <w:rsid w:val="0058336D"/>
    <w:rsid w:val="00583446"/>
    <w:rsid w:val="00583846"/>
    <w:rsid w:val="00583A52"/>
    <w:rsid w:val="00585D64"/>
    <w:rsid w:val="0058625F"/>
    <w:rsid w:val="00587011"/>
    <w:rsid w:val="0058780A"/>
    <w:rsid w:val="00587A7B"/>
    <w:rsid w:val="00590372"/>
    <w:rsid w:val="0059127F"/>
    <w:rsid w:val="0059142C"/>
    <w:rsid w:val="00591C63"/>
    <w:rsid w:val="00592CFA"/>
    <w:rsid w:val="00592F16"/>
    <w:rsid w:val="00593A93"/>
    <w:rsid w:val="00593B3A"/>
    <w:rsid w:val="00593E3F"/>
    <w:rsid w:val="00596938"/>
    <w:rsid w:val="0059705F"/>
    <w:rsid w:val="00597B3B"/>
    <w:rsid w:val="005A0503"/>
    <w:rsid w:val="005A3173"/>
    <w:rsid w:val="005A42BB"/>
    <w:rsid w:val="005A472E"/>
    <w:rsid w:val="005A59DF"/>
    <w:rsid w:val="005A62D3"/>
    <w:rsid w:val="005A68B7"/>
    <w:rsid w:val="005A6E0A"/>
    <w:rsid w:val="005A6F96"/>
    <w:rsid w:val="005A75AD"/>
    <w:rsid w:val="005B1253"/>
    <w:rsid w:val="005B13D4"/>
    <w:rsid w:val="005B1B0C"/>
    <w:rsid w:val="005B1FD3"/>
    <w:rsid w:val="005B27F4"/>
    <w:rsid w:val="005B3E76"/>
    <w:rsid w:val="005B40C3"/>
    <w:rsid w:val="005B443C"/>
    <w:rsid w:val="005B7291"/>
    <w:rsid w:val="005B7B1B"/>
    <w:rsid w:val="005B7D0E"/>
    <w:rsid w:val="005C03F6"/>
    <w:rsid w:val="005C0462"/>
    <w:rsid w:val="005C06CF"/>
    <w:rsid w:val="005C1DEC"/>
    <w:rsid w:val="005C3849"/>
    <w:rsid w:val="005C3B39"/>
    <w:rsid w:val="005C5C0F"/>
    <w:rsid w:val="005C5F1A"/>
    <w:rsid w:val="005C5F28"/>
    <w:rsid w:val="005D0B75"/>
    <w:rsid w:val="005D0CD2"/>
    <w:rsid w:val="005D34DE"/>
    <w:rsid w:val="005D39CB"/>
    <w:rsid w:val="005D437C"/>
    <w:rsid w:val="005D445F"/>
    <w:rsid w:val="005D4A0C"/>
    <w:rsid w:val="005D60ED"/>
    <w:rsid w:val="005D6FD6"/>
    <w:rsid w:val="005D7802"/>
    <w:rsid w:val="005D7883"/>
    <w:rsid w:val="005D78C7"/>
    <w:rsid w:val="005D7F63"/>
    <w:rsid w:val="005E05BF"/>
    <w:rsid w:val="005E1F0B"/>
    <w:rsid w:val="005E29E1"/>
    <w:rsid w:val="005E2C8E"/>
    <w:rsid w:val="005E2D53"/>
    <w:rsid w:val="005E3010"/>
    <w:rsid w:val="005E342E"/>
    <w:rsid w:val="005E3E1D"/>
    <w:rsid w:val="005E3EF7"/>
    <w:rsid w:val="005E4BBB"/>
    <w:rsid w:val="005E4CB9"/>
    <w:rsid w:val="005E50A9"/>
    <w:rsid w:val="005E5481"/>
    <w:rsid w:val="005E5C2F"/>
    <w:rsid w:val="005E7030"/>
    <w:rsid w:val="005F14E4"/>
    <w:rsid w:val="005F1A59"/>
    <w:rsid w:val="005F1DD9"/>
    <w:rsid w:val="005F2482"/>
    <w:rsid w:val="005F2FD8"/>
    <w:rsid w:val="005F3998"/>
    <w:rsid w:val="005F4062"/>
    <w:rsid w:val="005F507D"/>
    <w:rsid w:val="005F664F"/>
    <w:rsid w:val="005F67D0"/>
    <w:rsid w:val="005F6AEF"/>
    <w:rsid w:val="005F723D"/>
    <w:rsid w:val="00600511"/>
    <w:rsid w:val="0060306A"/>
    <w:rsid w:val="006046D1"/>
    <w:rsid w:val="0060593E"/>
    <w:rsid w:val="0060609C"/>
    <w:rsid w:val="006064FB"/>
    <w:rsid w:val="0060725E"/>
    <w:rsid w:val="00610176"/>
    <w:rsid w:val="00610E19"/>
    <w:rsid w:val="00611221"/>
    <w:rsid w:val="0061202F"/>
    <w:rsid w:val="00612849"/>
    <w:rsid w:val="00612ACA"/>
    <w:rsid w:val="006131F6"/>
    <w:rsid w:val="00613AD9"/>
    <w:rsid w:val="00614213"/>
    <w:rsid w:val="0061551C"/>
    <w:rsid w:val="006165AB"/>
    <w:rsid w:val="00616F78"/>
    <w:rsid w:val="00616FA1"/>
    <w:rsid w:val="0061777D"/>
    <w:rsid w:val="00617FA6"/>
    <w:rsid w:val="0062282B"/>
    <w:rsid w:val="006236AB"/>
    <w:rsid w:val="00623865"/>
    <w:rsid w:val="00624310"/>
    <w:rsid w:val="00624FD4"/>
    <w:rsid w:val="00627744"/>
    <w:rsid w:val="006302D7"/>
    <w:rsid w:val="00630B6D"/>
    <w:rsid w:val="006324B3"/>
    <w:rsid w:val="00633A75"/>
    <w:rsid w:val="0063407D"/>
    <w:rsid w:val="00634251"/>
    <w:rsid w:val="00634C48"/>
    <w:rsid w:val="00634EF0"/>
    <w:rsid w:val="006358B5"/>
    <w:rsid w:val="00635E1A"/>
    <w:rsid w:val="0063667F"/>
    <w:rsid w:val="006369DE"/>
    <w:rsid w:val="00640E2E"/>
    <w:rsid w:val="00641244"/>
    <w:rsid w:val="0064219D"/>
    <w:rsid w:val="006422FE"/>
    <w:rsid w:val="00643282"/>
    <w:rsid w:val="006468B3"/>
    <w:rsid w:val="00647301"/>
    <w:rsid w:val="0064779C"/>
    <w:rsid w:val="0064787C"/>
    <w:rsid w:val="00650723"/>
    <w:rsid w:val="006509DE"/>
    <w:rsid w:val="0065141E"/>
    <w:rsid w:val="00652AB7"/>
    <w:rsid w:val="00652CEF"/>
    <w:rsid w:val="00652D32"/>
    <w:rsid w:val="00653140"/>
    <w:rsid w:val="006538A2"/>
    <w:rsid w:val="0065398F"/>
    <w:rsid w:val="00653B97"/>
    <w:rsid w:val="00654B8D"/>
    <w:rsid w:val="00654C2A"/>
    <w:rsid w:val="00654EF7"/>
    <w:rsid w:val="00655317"/>
    <w:rsid w:val="0065571A"/>
    <w:rsid w:val="006560E6"/>
    <w:rsid w:val="00656ABC"/>
    <w:rsid w:val="006575E5"/>
    <w:rsid w:val="00657928"/>
    <w:rsid w:val="0065795B"/>
    <w:rsid w:val="00657E78"/>
    <w:rsid w:val="006608E4"/>
    <w:rsid w:val="006610AC"/>
    <w:rsid w:val="0066256D"/>
    <w:rsid w:val="00663240"/>
    <w:rsid w:val="0066514C"/>
    <w:rsid w:val="006651D8"/>
    <w:rsid w:val="00665EF9"/>
    <w:rsid w:val="0066629C"/>
    <w:rsid w:val="0066656F"/>
    <w:rsid w:val="006665FA"/>
    <w:rsid w:val="00666D8E"/>
    <w:rsid w:val="00671154"/>
    <w:rsid w:val="00672647"/>
    <w:rsid w:val="006730D5"/>
    <w:rsid w:val="0067353E"/>
    <w:rsid w:val="00673716"/>
    <w:rsid w:val="0067477E"/>
    <w:rsid w:val="00674792"/>
    <w:rsid w:val="0067491E"/>
    <w:rsid w:val="0067613B"/>
    <w:rsid w:val="006766A7"/>
    <w:rsid w:val="00676B50"/>
    <w:rsid w:val="00677DE6"/>
    <w:rsid w:val="0068036E"/>
    <w:rsid w:val="00681CEA"/>
    <w:rsid w:val="00681E7B"/>
    <w:rsid w:val="00682A46"/>
    <w:rsid w:val="006853E4"/>
    <w:rsid w:val="00685E3C"/>
    <w:rsid w:val="00687165"/>
    <w:rsid w:val="0069092A"/>
    <w:rsid w:val="006914C5"/>
    <w:rsid w:val="0069377D"/>
    <w:rsid w:val="0069434D"/>
    <w:rsid w:val="00694541"/>
    <w:rsid w:val="00694A8F"/>
    <w:rsid w:val="006951DC"/>
    <w:rsid w:val="00695BD4"/>
    <w:rsid w:val="006967DC"/>
    <w:rsid w:val="0069698B"/>
    <w:rsid w:val="00697435"/>
    <w:rsid w:val="00697775"/>
    <w:rsid w:val="006A0892"/>
    <w:rsid w:val="006A08FD"/>
    <w:rsid w:val="006A0B53"/>
    <w:rsid w:val="006A14BA"/>
    <w:rsid w:val="006A18C5"/>
    <w:rsid w:val="006A4E8F"/>
    <w:rsid w:val="006A51CE"/>
    <w:rsid w:val="006A5CDD"/>
    <w:rsid w:val="006B04B5"/>
    <w:rsid w:val="006B2513"/>
    <w:rsid w:val="006B2F74"/>
    <w:rsid w:val="006B3868"/>
    <w:rsid w:val="006B4053"/>
    <w:rsid w:val="006B51A6"/>
    <w:rsid w:val="006B549B"/>
    <w:rsid w:val="006B62AA"/>
    <w:rsid w:val="006C023C"/>
    <w:rsid w:val="006C11C9"/>
    <w:rsid w:val="006C37CE"/>
    <w:rsid w:val="006C4607"/>
    <w:rsid w:val="006C4D8D"/>
    <w:rsid w:val="006C7419"/>
    <w:rsid w:val="006C7C26"/>
    <w:rsid w:val="006C7DBF"/>
    <w:rsid w:val="006D0209"/>
    <w:rsid w:val="006D0614"/>
    <w:rsid w:val="006D0E6E"/>
    <w:rsid w:val="006D1774"/>
    <w:rsid w:val="006D21CA"/>
    <w:rsid w:val="006D31E2"/>
    <w:rsid w:val="006D3316"/>
    <w:rsid w:val="006D57A9"/>
    <w:rsid w:val="006D580C"/>
    <w:rsid w:val="006D779E"/>
    <w:rsid w:val="006D7F46"/>
    <w:rsid w:val="006E15C2"/>
    <w:rsid w:val="006E2DC2"/>
    <w:rsid w:val="006E312E"/>
    <w:rsid w:val="006E3E49"/>
    <w:rsid w:val="006E4115"/>
    <w:rsid w:val="006E4F1E"/>
    <w:rsid w:val="006E4F3D"/>
    <w:rsid w:val="006F10C0"/>
    <w:rsid w:val="006F11FE"/>
    <w:rsid w:val="006F1EA4"/>
    <w:rsid w:val="006F24BC"/>
    <w:rsid w:val="006F3FF9"/>
    <w:rsid w:val="006F4BBD"/>
    <w:rsid w:val="006F67CB"/>
    <w:rsid w:val="006F6960"/>
    <w:rsid w:val="006F6A38"/>
    <w:rsid w:val="006F721F"/>
    <w:rsid w:val="00701F3C"/>
    <w:rsid w:val="00702120"/>
    <w:rsid w:val="007041C5"/>
    <w:rsid w:val="0070558F"/>
    <w:rsid w:val="007059C0"/>
    <w:rsid w:val="0070600B"/>
    <w:rsid w:val="00706ECC"/>
    <w:rsid w:val="00707369"/>
    <w:rsid w:val="00712525"/>
    <w:rsid w:val="007128C8"/>
    <w:rsid w:val="00712D2B"/>
    <w:rsid w:val="0071514A"/>
    <w:rsid w:val="00715170"/>
    <w:rsid w:val="00715394"/>
    <w:rsid w:val="00715692"/>
    <w:rsid w:val="00715978"/>
    <w:rsid w:val="00716E75"/>
    <w:rsid w:val="00717284"/>
    <w:rsid w:val="00717C9C"/>
    <w:rsid w:val="00721128"/>
    <w:rsid w:val="00721577"/>
    <w:rsid w:val="00721BD9"/>
    <w:rsid w:val="007235DD"/>
    <w:rsid w:val="007236F6"/>
    <w:rsid w:val="00723E54"/>
    <w:rsid w:val="00724602"/>
    <w:rsid w:val="00724B49"/>
    <w:rsid w:val="00726302"/>
    <w:rsid w:val="007266B3"/>
    <w:rsid w:val="00727484"/>
    <w:rsid w:val="007274D2"/>
    <w:rsid w:val="00730488"/>
    <w:rsid w:val="0073133F"/>
    <w:rsid w:val="00731BE4"/>
    <w:rsid w:val="00732478"/>
    <w:rsid w:val="007334FA"/>
    <w:rsid w:val="00733801"/>
    <w:rsid w:val="0073512A"/>
    <w:rsid w:val="007359D8"/>
    <w:rsid w:val="00736096"/>
    <w:rsid w:val="00736749"/>
    <w:rsid w:val="007372C7"/>
    <w:rsid w:val="00737DAA"/>
    <w:rsid w:val="00741C7B"/>
    <w:rsid w:val="00741F30"/>
    <w:rsid w:val="00742242"/>
    <w:rsid w:val="0074366D"/>
    <w:rsid w:val="00745BEE"/>
    <w:rsid w:val="00746480"/>
    <w:rsid w:val="00746B14"/>
    <w:rsid w:val="007471B9"/>
    <w:rsid w:val="00747397"/>
    <w:rsid w:val="00747879"/>
    <w:rsid w:val="00751402"/>
    <w:rsid w:val="00751626"/>
    <w:rsid w:val="00751A3B"/>
    <w:rsid w:val="00753275"/>
    <w:rsid w:val="00753729"/>
    <w:rsid w:val="00753BCC"/>
    <w:rsid w:val="0075419F"/>
    <w:rsid w:val="00755E65"/>
    <w:rsid w:val="007561F4"/>
    <w:rsid w:val="007564D5"/>
    <w:rsid w:val="00756E98"/>
    <w:rsid w:val="00757A98"/>
    <w:rsid w:val="00760276"/>
    <w:rsid w:val="007624D9"/>
    <w:rsid w:val="0076428A"/>
    <w:rsid w:val="00764AD9"/>
    <w:rsid w:val="007665DB"/>
    <w:rsid w:val="00767038"/>
    <w:rsid w:val="00767300"/>
    <w:rsid w:val="0077147C"/>
    <w:rsid w:val="00771665"/>
    <w:rsid w:val="0077195C"/>
    <w:rsid w:val="00772D8A"/>
    <w:rsid w:val="007735C0"/>
    <w:rsid w:val="00773FFA"/>
    <w:rsid w:val="00775E02"/>
    <w:rsid w:val="00776BBB"/>
    <w:rsid w:val="00777960"/>
    <w:rsid w:val="00780326"/>
    <w:rsid w:val="007823AE"/>
    <w:rsid w:val="00783637"/>
    <w:rsid w:val="007840F4"/>
    <w:rsid w:val="00784888"/>
    <w:rsid w:val="0078529D"/>
    <w:rsid w:val="0078677E"/>
    <w:rsid w:val="00786B7B"/>
    <w:rsid w:val="00786D68"/>
    <w:rsid w:val="00786FE8"/>
    <w:rsid w:val="0079011A"/>
    <w:rsid w:val="00790E08"/>
    <w:rsid w:val="007926F5"/>
    <w:rsid w:val="00793460"/>
    <w:rsid w:val="007950F7"/>
    <w:rsid w:val="0079603E"/>
    <w:rsid w:val="00796B5A"/>
    <w:rsid w:val="00797685"/>
    <w:rsid w:val="007A0AD9"/>
    <w:rsid w:val="007A0B2D"/>
    <w:rsid w:val="007A101E"/>
    <w:rsid w:val="007A1386"/>
    <w:rsid w:val="007A1507"/>
    <w:rsid w:val="007A23D1"/>
    <w:rsid w:val="007A2E2F"/>
    <w:rsid w:val="007A3896"/>
    <w:rsid w:val="007A4458"/>
    <w:rsid w:val="007A4628"/>
    <w:rsid w:val="007A4BEA"/>
    <w:rsid w:val="007A4DEF"/>
    <w:rsid w:val="007A52A6"/>
    <w:rsid w:val="007A5424"/>
    <w:rsid w:val="007A5744"/>
    <w:rsid w:val="007A59A8"/>
    <w:rsid w:val="007A5CAF"/>
    <w:rsid w:val="007A6FA1"/>
    <w:rsid w:val="007B0FB9"/>
    <w:rsid w:val="007B26A8"/>
    <w:rsid w:val="007B3F7A"/>
    <w:rsid w:val="007B434B"/>
    <w:rsid w:val="007B58F6"/>
    <w:rsid w:val="007B59D1"/>
    <w:rsid w:val="007B74A0"/>
    <w:rsid w:val="007B75FB"/>
    <w:rsid w:val="007C0DCB"/>
    <w:rsid w:val="007C1CF6"/>
    <w:rsid w:val="007C22E1"/>
    <w:rsid w:val="007C4691"/>
    <w:rsid w:val="007C4B1C"/>
    <w:rsid w:val="007C54F6"/>
    <w:rsid w:val="007C58D5"/>
    <w:rsid w:val="007C79FB"/>
    <w:rsid w:val="007C7C26"/>
    <w:rsid w:val="007D0402"/>
    <w:rsid w:val="007D2170"/>
    <w:rsid w:val="007D21AE"/>
    <w:rsid w:val="007D2A36"/>
    <w:rsid w:val="007D37F7"/>
    <w:rsid w:val="007D5B82"/>
    <w:rsid w:val="007D6351"/>
    <w:rsid w:val="007E0E10"/>
    <w:rsid w:val="007E1373"/>
    <w:rsid w:val="007E3ABC"/>
    <w:rsid w:val="007E4193"/>
    <w:rsid w:val="007E421B"/>
    <w:rsid w:val="007E45E3"/>
    <w:rsid w:val="007E4E25"/>
    <w:rsid w:val="007E5717"/>
    <w:rsid w:val="007E71C4"/>
    <w:rsid w:val="007E73D6"/>
    <w:rsid w:val="007E7916"/>
    <w:rsid w:val="007F05A3"/>
    <w:rsid w:val="007F22A2"/>
    <w:rsid w:val="007F2584"/>
    <w:rsid w:val="007F285E"/>
    <w:rsid w:val="007F5668"/>
    <w:rsid w:val="007F599C"/>
    <w:rsid w:val="007F6B23"/>
    <w:rsid w:val="007F70B3"/>
    <w:rsid w:val="007F725E"/>
    <w:rsid w:val="00800D4C"/>
    <w:rsid w:val="00802D21"/>
    <w:rsid w:val="00802FDF"/>
    <w:rsid w:val="008033B2"/>
    <w:rsid w:val="0080437A"/>
    <w:rsid w:val="00804AAC"/>
    <w:rsid w:val="00805AF3"/>
    <w:rsid w:val="00806136"/>
    <w:rsid w:val="008068CB"/>
    <w:rsid w:val="00806B9C"/>
    <w:rsid w:val="00807008"/>
    <w:rsid w:val="0080763B"/>
    <w:rsid w:val="00810294"/>
    <w:rsid w:val="00810E6F"/>
    <w:rsid w:val="0081146B"/>
    <w:rsid w:val="008119F3"/>
    <w:rsid w:val="00812E01"/>
    <w:rsid w:val="008133E8"/>
    <w:rsid w:val="0081367A"/>
    <w:rsid w:val="00813D2E"/>
    <w:rsid w:val="008141D3"/>
    <w:rsid w:val="00815C27"/>
    <w:rsid w:val="00815FCE"/>
    <w:rsid w:val="00816798"/>
    <w:rsid w:val="00816D43"/>
    <w:rsid w:val="00817893"/>
    <w:rsid w:val="00820221"/>
    <w:rsid w:val="00820B28"/>
    <w:rsid w:val="008211CA"/>
    <w:rsid w:val="008211F5"/>
    <w:rsid w:val="00822001"/>
    <w:rsid w:val="00822093"/>
    <w:rsid w:val="00823FA9"/>
    <w:rsid w:val="00824516"/>
    <w:rsid w:val="00824BF2"/>
    <w:rsid w:val="008262DD"/>
    <w:rsid w:val="0082647D"/>
    <w:rsid w:val="00826CA0"/>
    <w:rsid w:val="00826F55"/>
    <w:rsid w:val="008271D5"/>
    <w:rsid w:val="00832109"/>
    <w:rsid w:val="0083213E"/>
    <w:rsid w:val="0083348B"/>
    <w:rsid w:val="008334A7"/>
    <w:rsid w:val="0083438A"/>
    <w:rsid w:val="008346D0"/>
    <w:rsid w:val="00834875"/>
    <w:rsid w:val="00835CA7"/>
    <w:rsid w:val="00835D11"/>
    <w:rsid w:val="00835FF4"/>
    <w:rsid w:val="00836187"/>
    <w:rsid w:val="008378CC"/>
    <w:rsid w:val="00840B80"/>
    <w:rsid w:val="008440BE"/>
    <w:rsid w:val="00844722"/>
    <w:rsid w:val="008453A3"/>
    <w:rsid w:val="00851058"/>
    <w:rsid w:val="00851093"/>
    <w:rsid w:val="00851975"/>
    <w:rsid w:val="00852ED6"/>
    <w:rsid w:val="008535FC"/>
    <w:rsid w:val="00853685"/>
    <w:rsid w:val="00853DDD"/>
    <w:rsid w:val="00854B67"/>
    <w:rsid w:val="008563A7"/>
    <w:rsid w:val="008563C4"/>
    <w:rsid w:val="008577AC"/>
    <w:rsid w:val="00857DB7"/>
    <w:rsid w:val="00871B68"/>
    <w:rsid w:val="0087248B"/>
    <w:rsid w:val="00874FB2"/>
    <w:rsid w:val="0087572B"/>
    <w:rsid w:val="00875819"/>
    <w:rsid w:val="008758B5"/>
    <w:rsid w:val="008761FA"/>
    <w:rsid w:val="00876B29"/>
    <w:rsid w:val="008803B7"/>
    <w:rsid w:val="00881B10"/>
    <w:rsid w:val="008840D6"/>
    <w:rsid w:val="00885713"/>
    <w:rsid w:val="00885DF7"/>
    <w:rsid w:val="0088646C"/>
    <w:rsid w:val="00886AE6"/>
    <w:rsid w:val="00887253"/>
    <w:rsid w:val="00887EAF"/>
    <w:rsid w:val="008915AC"/>
    <w:rsid w:val="00891A9F"/>
    <w:rsid w:val="00892A82"/>
    <w:rsid w:val="0089314F"/>
    <w:rsid w:val="008932F1"/>
    <w:rsid w:val="00893358"/>
    <w:rsid w:val="008938A4"/>
    <w:rsid w:val="008938AC"/>
    <w:rsid w:val="00893D8B"/>
    <w:rsid w:val="00894559"/>
    <w:rsid w:val="00895378"/>
    <w:rsid w:val="00895B21"/>
    <w:rsid w:val="00895BF3"/>
    <w:rsid w:val="00896A6B"/>
    <w:rsid w:val="00897823"/>
    <w:rsid w:val="008A00A1"/>
    <w:rsid w:val="008A083A"/>
    <w:rsid w:val="008A10BD"/>
    <w:rsid w:val="008A175D"/>
    <w:rsid w:val="008A21B2"/>
    <w:rsid w:val="008A2959"/>
    <w:rsid w:val="008A2B23"/>
    <w:rsid w:val="008A32E6"/>
    <w:rsid w:val="008A40F3"/>
    <w:rsid w:val="008A4681"/>
    <w:rsid w:val="008A4F92"/>
    <w:rsid w:val="008A6683"/>
    <w:rsid w:val="008A777E"/>
    <w:rsid w:val="008A780E"/>
    <w:rsid w:val="008B041F"/>
    <w:rsid w:val="008B06CA"/>
    <w:rsid w:val="008B29A6"/>
    <w:rsid w:val="008B3045"/>
    <w:rsid w:val="008B3572"/>
    <w:rsid w:val="008B5730"/>
    <w:rsid w:val="008B70BD"/>
    <w:rsid w:val="008B7113"/>
    <w:rsid w:val="008C0D14"/>
    <w:rsid w:val="008C100A"/>
    <w:rsid w:val="008C2068"/>
    <w:rsid w:val="008C2563"/>
    <w:rsid w:val="008C3A6E"/>
    <w:rsid w:val="008C48A6"/>
    <w:rsid w:val="008C4F88"/>
    <w:rsid w:val="008C5350"/>
    <w:rsid w:val="008C54A9"/>
    <w:rsid w:val="008C6A8C"/>
    <w:rsid w:val="008C6F79"/>
    <w:rsid w:val="008C7B6F"/>
    <w:rsid w:val="008C7C5D"/>
    <w:rsid w:val="008C7E9A"/>
    <w:rsid w:val="008D1F5E"/>
    <w:rsid w:val="008D215A"/>
    <w:rsid w:val="008D2C54"/>
    <w:rsid w:val="008D474D"/>
    <w:rsid w:val="008D4E30"/>
    <w:rsid w:val="008D5A0F"/>
    <w:rsid w:val="008D6F5F"/>
    <w:rsid w:val="008D72C6"/>
    <w:rsid w:val="008D7A73"/>
    <w:rsid w:val="008D7D16"/>
    <w:rsid w:val="008E0BAC"/>
    <w:rsid w:val="008E2D81"/>
    <w:rsid w:val="008E3D30"/>
    <w:rsid w:val="008E5737"/>
    <w:rsid w:val="008F081E"/>
    <w:rsid w:val="008F0B35"/>
    <w:rsid w:val="008F0E5C"/>
    <w:rsid w:val="008F2D31"/>
    <w:rsid w:val="008F375A"/>
    <w:rsid w:val="008F3767"/>
    <w:rsid w:val="008F4761"/>
    <w:rsid w:val="008F4CC3"/>
    <w:rsid w:val="008F54FF"/>
    <w:rsid w:val="008F58D3"/>
    <w:rsid w:val="008F5AF1"/>
    <w:rsid w:val="008F67A5"/>
    <w:rsid w:val="008F78FC"/>
    <w:rsid w:val="008F7E40"/>
    <w:rsid w:val="00900881"/>
    <w:rsid w:val="009013E4"/>
    <w:rsid w:val="0090247C"/>
    <w:rsid w:val="009027F8"/>
    <w:rsid w:val="009029AC"/>
    <w:rsid w:val="00903E7C"/>
    <w:rsid w:val="00904FBF"/>
    <w:rsid w:val="00905EEB"/>
    <w:rsid w:val="00906C03"/>
    <w:rsid w:val="009072C8"/>
    <w:rsid w:val="009100EB"/>
    <w:rsid w:val="0091179A"/>
    <w:rsid w:val="00911CF0"/>
    <w:rsid w:val="00911D28"/>
    <w:rsid w:val="00912200"/>
    <w:rsid w:val="00912359"/>
    <w:rsid w:val="0091245E"/>
    <w:rsid w:val="00912989"/>
    <w:rsid w:val="009145F5"/>
    <w:rsid w:val="009149C2"/>
    <w:rsid w:val="009154BC"/>
    <w:rsid w:val="0091560D"/>
    <w:rsid w:val="00915C53"/>
    <w:rsid w:val="009160B8"/>
    <w:rsid w:val="00917C38"/>
    <w:rsid w:val="00917F04"/>
    <w:rsid w:val="00920571"/>
    <w:rsid w:val="00920F5D"/>
    <w:rsid w:val="00920F74"/>
    <w:rsid w:val="00921857"/>
    <w:rsid w:val="00921FDA"/>
    <w:rsid w:val="00922908"/>
    <w:rsid w:val="009229B6"/>
    <w:rsid w:val="00924818"/>
    <w:rsid w:val="00924C37"/>
    <w:rsid w:val="0092539D"/>
    <w:rsid w:val="00925DE7"/>
    <w:rsid w:val="00926A74"/>
    <w:rsid w:val="00930982"/>
    <w:rsid w:val="00930BCA"/>
    <w:rsid w:val="0093390F"/>
    <w:rsid w:val="009339F2"/>
    <w:rsid w:val="00934A30"/>
    <w:rsid w:val="00934AAD"/>
    <w:rsid w:val="0093548E"/>
    <w:rsid w:val="00935957"/>
    <w:rsid w:val="00936802"/>
    <w:rsid w:val="00936873"/>
    <w:rsid w:val="00936E7F"/>
    <w:rsid w:val="00941171"/>
    <w:rsid w:val="0094134A"/>
    <w:rsid w:val="00943801"/>
    <w:rsid w:val="00945340"/>
    <w:rsid w:val="00945B0F"/>
    <w:rsid w:val="009469D4"/>
    <w:rsid w:val="00946D5A"/>
    <w:rsid w:val="00946E45"/>
    <w:rsid w:val="00947D7D"/>
    <w:rsid w:val="00950D43"/>
    <w:rsid w:val="00950EAE"/>
    <w:rsid w:val="00951100"/>
    <w:rsid w:val="009511AF"/>
    <w:rsid w:val="00952CDC"/>
    <w:rsid w:val="0095346A"/>
    <w:rsid w:val="009538BC"/>
    <w:rsid w:val="0095414C"/>
    <w:rsid w:val="00956521"/>
    <w:rsid w:val="009568B2"/>
    <w:rsid w:val="00957672"/>
    <w:rsid w:val="00960435"/>
    <w:rsid w:val="00960982"/>
    <w:rsid w:val="00962AA6"/>
    <w:rsid w:val="00962C85"/>
    <w:rsid w:val="00963437"/>
    <w:rsid w:val="0096487C"/>
    <w:rsid w:val="00964C3E"/>
    <w:rsid w:val="00965F13"/>
    <w:rsid w:val="009660BC"/>
    <w:rsid w:val="0096614F"/>
    <w:rsid w:val="00966A91"/>
    <w:rsid w:val="0096714C"/>
    <w:rsid w:val="00967B35"/>
    <w:rsid w:val="00970E04"/>
    <w:rsid w:val="009710DB"/>
    <w:rsid w:val="00971151"/>
    <w:rsid w:val="00971329"/>
    <w:rsid w:val="00971EE2"/>
    <w:rsid w:val="00973651"/>
    <w:rsid w:val="00973C91"/>
    <w:rsid w:val="00974B07"/>
    <w:rsid w:val="00976E75"/>
    <w:rsid w:val="00980535"/>
    <w:rsid w:val="00982C90"/>
    <w:rsid w:val="0098310E"/>
    <w:rsid w:val="0098323E"/>
    <w:rsid w:val="00984279"/>
    <w:rsid w:val="009859B3"/>
    <w:rsid w:val="00990D77"/>
    <w:rsid w:val="009916FE"/>
    <w:rsid w:val="009929E7"/>
    <w:rsid w:val="00994982"/>
    <w:rsid w:val="00995C36"/>
    <w:rsid w:val="009968D3"/>
    <w:rsid w:val="00996C56"/>
    <w:rsid w:val="00997178"/>
    <w:rsid w:val="0099728D"/>
    <w:rsid w:val="00997834"/>
    <w:rsid w:val="009A1A5C"/>
    <w:rsid w:val="009A1FC6"/>
    <w:rsid w:val="009A2019"/>
    <w:rsid w:val="009A22A9"/>
    <w:rsid w:val="009A2601"/>
    <w:rsid w:val="009A52B9"/>
    <w:rsid w:val="009A56DA"/>
    <w:rsid w:val="009A5800"/>
    <w:rsid w:val="009A6A2D"/>
    <w:rsid w:val="009B01DA"/>
    <w:rsid w:val="009B09B4"/>
    <w:rsid w:val="009B329D"/>
    <w:rsid w:val="009B46F7"/>
    <w:rsid w:val="009B4899"/>
    <w:rsid w:val="009B4EF5"/>
    <w:rsid w:val="009B5797"/>
    <w:rsid w:val="009B6897"/>
    <w:rsid w:val="009B6D87"/>
    <w:rsid w:val="009B7F14"/>
    <w:rsid w:val="009C17B9"/>
    <w:rsid w:val="009C1B85"/>
    <w:rsid w:val="009C26D1"/>
    <w:rsid w:val="009C4FE6"/>
    <w:rsid w:val="009C527A"/>
    <w:rsid w:val="009C55F7"/>
    <w:rsid w:val="009C577C"/>
    <w:rsid w:val="009C5F77"/>
    <w:rsid w:val="009C6D61"/>
    <w:rsid w:val="009C72AB"/>
    <w:rsid w:val="009C7525"/>
    <w:rsid w:val="009C780E"/>
    <w:rsid w:val="009C7A1B"/>
    <w:rsid w:val="009D00B1"/>
    <w:rsid w:val="009D048A"/>
    <w:rsid w:val="009D0CBB"/>
    <w:rsid w:val="009D12DF"/>
    <w:rsid w:val="009D181D"/>
    <w:rsid w:val="009D5A0D"/>
    <w:rsid w:val="009D5C52"/>
    <w:rsid w:val="009D5DE7"/>
    <w:rsid w:val="009D62AB"/>
    <w:rsid w:val="009D791F"/>
    <w:rsid w:val="009E0323"/>
    <w:rsid w:val="009E09BB"/>
    <w:rsid w:val="009E14E3"/>
    <w:rsid w:val="009E3791"/>
    <w:rsid w:val="009E4023"/>
    <w:rsid w:val="009E4346"/>
    <w:rsid w:val="009E43EB"/>
    <w:rsid w:val="009E4D0C"/>
    <w:rsid w:val="009E51F0"/>
    <w:rsid w:val="009E5A6B"/>
    <w:rsid w:val="009E6FA0"/>
    <w:rsid w:val="009E76EF"/>
    <w:rsid w:val="009E782A"/>
    <w:rsid w:val="009E7DB5"/>
    <w:rsid w:val="009F01EE"/>
    <w:rsid w:val="009F04E0"/>
    <w:rsid w:val="009F08E3"/>
    <w:rsid w:val="009F0AAE"/>
    <w:rsid w:val="009F0C18"/>
    <w:rsid w:val="009F2443"/>
    <w:rsid w:val="009F3165"/>
    <w:rsid w:val="009F5AEA"/>
    <w:rsid w:val="009F5FE7"/>
    <w:rsid w:val="009F69D0"/>
    <w:rsid w:val="009F71BC"/>
    <w:rsid w:val="009F7AB8"/>
    <w:rsid w:val="00A0039A"/>
    <w:rsid w:val="00A003B3"/>
    <w:rsid w:val="00A00789"/>
    <w:rsid w:val="00A00C68"/>
    <w:rsid w:val="00A01A2D"/>
    <w:rsid w:val="00A02721"/>
    <w:rsid w:val="00A02AC6"/>
    <w:rsid w:val="00A02DAD"/>
    <w:rsid w:val="00A02F6D"/>
    <w:rsid w:val="00A030EC"/>
    <w:rsid w:val="00A031B7"/>
    <w:rsid w:val="00A03684"/>
    <w:rsid w:val="00A03C92"/>
    <w:rsid w:val="00A0738E"/>
    <w:rsid w:val="00A110AF"/>
    <w:rsid w:val="00A114EE"/>
    <w:rsid w:val="00A12266"/>
    <w:rsid w:val="00A13467"/>
    <w:rsid w:val="00A136D8"/>
    <w:rsid w:val="00A1425C"/>
    <w:rsid w:val="00A146CF"/>
    <w:rsid w:val="00A14864"/>
    <w:rsid w:val="00A14CB9"/>
    <w:rsid w:val="00A15DC2"/>
    <w:rsid w:val="00A20203"/>
    <w:rsid w:val="00A20EF6"/>
    <w:rsid w:val="00A2146A"/>
    <w:rsid w:val="00A21695"/>
    <w:rsid w:val="00A21F3A"/>
    <w:rsid w:val="00A2204C"/>
    <w:rsid w:val="00A22BB4"/>
    <w:rsid w:val="00A23267"/>
    <w:rsid w:val="00A23613"/>
    <w:rsid w:val="00A24220"/>
    <w:rsid w:val="00A24DE6"/>
    <w:rsid w:val="00A25991"/>
    <w:rsid w:val="00A25EAE"/>
    <w:rsid w:val="00A26328"/>
    <w:rsid w:val="00A26641"/>
    <w:rsid w:val="00A273E0"/>
    <w:rsid w:val="00A279D6"/>
    <w:rsid w:val="00A30C83"/>
    <w:rsid w:val="00A310DD"/>
    <w:rsid w:val="00A32CE9"/>
    <w:rsid w:val="00A3364E"/>
    <w:rsid w:val="00A3507C"/>
    <w:rsid w:val="00A35E94"/>
    <w:rsid w:val="00A37B2D"/>
    <w:rsid w:val="00A40406"/>
    <w:rsid w:val="00A406A4"/>
    <w:rsid w:val="00A418CA"/>
    <w:rsid w:val="00A41B90"/>
    <w:rsid w:val="00A43045"/>
    <w:rsid w:val="00A45252"/>
    <w:rsid w:val="00A4627D"/>
    <w:rsid w:val="00A46461"/>
    <w:rsid w:val="00A472C9"/>
    <w:rsid w:val="00A47C77"/>
    <w:rsid w:val="00A51049"/>
    <w:rsid w:val="00A52C04"/>
    <w:rsid w:val="00A537BA"/>
    <w:rsid w:val="00A53ADA"/>
    <w:rsid w:val="00A55729"/>
    <w:rsid w:val="00A56744"/>
    <w:rsid w:val="00A574DE"/>
    <w:rsid w:val="00A605C7"/>
    <w:rsid w:val="00A63945"/>
    <w:rsid w:val="00A642C6"/>
    <w:rsid w:val="00A65038"/>
    <w:rsid w:val="00A6598F"/>
    <w:rsid w:val="00A6712D"/>
    <w:rsid w:val="00A67D52"/>
    <w:rsid w:val="00A71C12"/>
    <w:rsid w:val="00A71EB5"/>
    <w:rsid w:val="00A72106"/>
    <w:rsid w:val="00A72C7F"/>
    <w:rsid w:val="00A7389A"/>
    <w:rsid w:val="00A744B0"/>
    <w:rsid w:val="00A75081"/>
    <w:rsid w:val="00A75446"/>
    <w:rsid w:val="00A771AB"/>
    <w:rsid w:val="00A77A3D"/>
    <w:rsid w:val="00A800A0"/>
    <w:rsid w:val="00A80796"/>
    <w:rsid w:val="00A81A07"/>
    <w:rsid w:val="00A81A62"/>
    <w:rsid w:val="00A81D30"/>
    <w:rsid w:val="00A81D41"/>
    <w:rsid w:val="00A8649B"/>
    <w:rsid w:val="00A87370"/>
    <w:rsid w:val="00A87AB3"/>
    <w:rsid w:val="00A90C44"/>
    <w:rsid w:val="00A91054"/>
    <w:rsid w:val="00A92E02"/>
    <w:rsid w:val="00A9333A"/>
    <w:rsid w:val="00A9408D"/>
    <w:rsid w:val="00A94673"/>
    <w:rsid w:val="00A9479A"/>
    <w:rsid w:val="00A9557D"/>
    <w:rsid w:val="00A955F9"/>
    <w:rsid w:val="00A95A98"/>
    <w:rsid w:val="00A95C4D"/>
    <w:rsid w:val="00A95C9A"/>
    <w:rsid w:val="00A95E5F"/>
    <w:rsid w:val="00A96EAE"/>
    <w:rsid w:val="00A977C0"/>
    <w:rsid w:val="00A9796C"/>
    <w:rsid w:val="00A97D7E"/>
    <w:rsid w:val="00AA03F4"/>
    <w:rsid w:val="00AA04F4"/>
    <w:rsid w:val="00AA08DA"/>
    <w:rsid w:val="00AA145D"/>
    <w:rsid w:val="00AA1847"/>
    <w:rsid w:val="00AA185F"/>
    <w:rsid w:val="00AA2CEA"/>
    <w:rsid w:val="00AA6295"/>
    <w:rsid w:val="00AA6D76"/>
    <w:rsid w:val="00AA75E8"/>
    <w:rsid w:val="00AB0096"/>
    <w:rsid w:val="00AB063F"/>
    <w:rsid w:val="00AB39F5"/>
    <w:rsid w:val="00AB3DFE"/>
    <w:rsid w:val="00AB425F"/>
    <w:rsid w:val="00AB4387"/>
    <w:rsid w:val="00AB5991"/>
    <w:rsid w:val="00AB6135"/>
    <w:rsid w:val="00AB676B"/>
    <w:rsid w:val="00AB7FAC"/>
    <w:rsid w:val="00AC0E13"/>
    <w:rsid w:val="00AC120A"/>
    <w:rsid w:val="00AC1552"/>
    <w:rsid w:val="00AC2219"/>
    <w:rsid w:val="00AC25C8"/>
    <w:rsid w:val="00AC3DCF"/>
    <w:rsid w:val="00AC507E"/>
    <w:rsid w:val="00AC5AB6"/>
    <w:rsid w:val="00AC758B"/>
    <w:rsid w:val="00AC79EE"/>
    <w:rsid w:val="00AC7AC6"/>
    <w:rsid w:val="00AC7BCF"/>
    <w:rsid w:val="00AD03DD"/>
    <w:rsid w:val="00AD05CC"/>
    <w:rsid w:val="00AD07E3"/>
    <w:rsid w:val="00AD0B5C"/>
    <w:rsid w:val="00AD0CB8"/>
    <w:rsid w:val="00AD12E6"/>
    <w:rsid w:val="00AD2215"/>
    <w:rsid w:val="00AD24BB"/>
    <w:rsid w:val="00AD2670"/>
    <w:rsid w:val="00AD5056"/>
    <w:rsid w:val="00AD5760"/>
    <w:rsid w:val="00AD5901"/>
    <w:rsid w:val="00AD593E"/>
    <w:rsid w:val="00AD65AB"/>
    <w:rsid w:val="00AD76BC"/>
    <w:rsid w:val="00AE04DA"/>
    <w:rsid w:val="00AE1248"/>
    <w:rsid w:val="00AE18AE"/>
    <w:rsid w:val="00AE1CBE"/>
    <w:rsid w:val="00AE374B"/>
    <w:rsid w:val="00AE401D"/>
    <w:rsid w:val="00AE6E2A"/>
    <w:rsid w:val="00AF054F"/>
    <w:rsid w:val="00AF0586"/>
    <w:rsid w:val="00AF0F29"/>
    <w:rsid w:val="00AF376A"/>
    <w:rsid w:val="00AF38F4"/>
    <w:rsid w:val="00AF3A2D"/>
    <w:rsid w:val="00AF6007"/>
    <w:rsid w:val="00AF7F3B"/>
    <w:rsid w:val="00B00AE9"/>
    <w:rsid w:val="00B0161F"/>
    <w:rsid w:val="00B02359"/>
    <w:rsid w:val="00B02C04"/>
    <w:rsid w:val="00B033FD"/>
    <w:rsid w:val="00B036CE"/>
    <w:rsid w:val="00B0453B"/>
    <w:rsid w:val="00B04746"/>
    <w:rsid w:val="00B05003"/>
    <w:rsid w:val="00B05A17"/>
    <w:rsid w:val="00B06156"/>
    <w:rsid w:val="00B0619B"/>
    <w:rsid w:val="00B07575"/>
    <w:rsid w:val="00B11869"/>
    <w:rsid w:val="00B11E25"/>
    <w:rsid w:val="00B11F8D"/>
    <w:rsid w:val="00B12D05"/>
    <w:rsid w:val="00B13AA6"/>
    <w:rsid w:val="00B13B72"/>
    <w:rsid w:val="00B14327"/>
    <w:rsid w:val="00B14525"/>
    <w:rsid w:val="00B170A9"/>
    <w:rsid w:val="00B171C0"/>
    <w:rsid w:val="00B171E4"/>
    <w:rsid w:val="00B1720D"/>
    <w:rsid w:val="00B237D8"/>
    <w:rsid w:val="00B23A9A"/>
    <w:rsid w:val="00B25875"/>
    <w:rsid w:val="00B27213"/>
    <w:rsid w:val="00B279B6"/>
    <w:rsid w:val="00B310B7"/>
    <w:rsid w:val="00B31AE5"/>
    <w:rsid w:val="00B335D0"/>
    <w:rsid w:val="00B3491A"/>
    <w:rsid w:val="00B349FA"/>
    <w:rsid w:val="00B35AA7"/>
    <w:rsid w:val="00B362E7"/>
    <w:rsid w:val="00B376E6"/>
    <w:rsid w:val="00B37EF1"/>
    <w:rsid w:val="00B42823"/>
    <w:rsid w:val="00B43BAF"/>
    <w:rsid w:val="00B44262"/>
    <w:rsid w:val="00B4569F"/>
    <w:rsid w:val="00B45F79"/>
    <w:rsid w:val="00B50E06"/>
    <w:rsid w:val="00B51855"/>
    <w:rsid w:val="00B527B6"/>
    <w:rsid w:val="00B569D9"/>
    <w:rsid w:val="00B57A92"/>
    <w:rsid w:val="00B60180"/>
    <w:rsid w:val="00B606D1"/>
    <w:rsid w:val="00B62B76"/>
    <w:rsid w:val="00B641B4"/>
    <w:rsid w:val="00B642BD"/>
    <w:rsid w:val="00B665F6"/>
    <w:rsid w:val="00B67ACE"/>
    <w:rsid w:val="00B67B22"/>
    <w:rsid w:val="00B7003D"/>
    <w:rsid w:val="00B70C86"/>
    <w:rsid w:val="00B71807"/>
    <w:rsid w:val="00B71DDC"/>
    <w:rsid w:val="00B72C89"/>
    <w:rsid w:val="00B72DDC"/>
    <w:rsid w:val="00B73261"/>
    <w:rsid w:val="00B73302"/>
    <w:rsid w:val="00B74F6C"/>
    <w:rsid w:val="00B7695D"/>
    <w:rsid w:val="00B76B3A"/>
    <w:rsid w:val="00B776D7"/>
    <w:rsid w:val="00B81613"/>
    <w:rsid w:val="00B825ED"/>
    <w:rsid w:val="00B836F9"/>
    <w:rsid w:val="00B83724"/>
    <w:rsid w:val="00B83E59"/>
    <w:rsid w:val="00B83FFA"/>
    <w:rsid w:val="00B85001"/>
    <w:rsid w:val="00B850C6"/>
    <w:rsid w:val="00B852A1"/>
    <w:rsid w:val="00B853D8"/>
    <w:rsid w:val="00B86605"/>
    <w:rsid w:val="00B90C4B"/>
    <w:rsid w:val="00B91E8E"/>
    <w:rsid w:val="00B9272D"/>
    <w:rsid w:val="00B92A6A"/>
    <w:rsid w:val="00B92E66"/>
    <w:rsid w:val="00B93512"/>
    <w:rsid w:val="00B9399F"/>
    <w:rsid w:val="00B9410B"/>
    <w:rsid w:val="00B9457C"/>
    <w:rsid w:val="00B96FD0"/>
    <w:rsid w:val="00B97672"/>
    <w:rsid w:val="00B97877"/>
    <w:rsid w:val="00B97D43"/>
    <w:rsid w:val="00B97EFA"/>
    <w:rsid w:val="00BA0104"/>
    <w:rsid w:val="00BA1024"/>
    <w:rsid w:val="00BA134A"/>
    <w:rsid w:val="00BA31B0"/>
    <w:rsid w:val="00BA3815"/>
    <w:rsid w:val="00BA44CE"/>
    <w:rsid w:val="00BA450A"/>
    <w:rsid w:val="00BA46E3"/>
    <w:rsid w:val="00BA4F1B"/>
    <w:rsid w:val="00BA50B7"/>
    <w:rsid w:val="00BA5A30"/>
    <w:rsid w:val="00BA5E95"/>
    <w:rsid w:val="00BA7549"/>
    <w:rsid w:val="00BB0A10"/>
    <w:rsid w:val="00BB249A"/>
    <w:rsid w:val="00BB31A6"/>
    <w:rsid w:val="00BB3950"/>
    <w:rsid w:val="00BB39A4"/>
    <w:rsid w:val="00BB52FA"/>
    <w:rsid w:val="00BB6965"/>
    <w:rsid w:val="00BB7039"/>
    <w:rsid w:val="00BB74CE"/>
    <w:rsid w:val="00BC0CBA"/>
    <w:rsid w:val="00BC0FB9"/>
    <w:rsid w:val="00BC38F4"/>
    <w:rsid w:val="00BC4006"/>
    <w:rsid w:val="00BC4A5E"/>
    <w:rsid w:val="00BC6AF0"/>
    <w:rsid w:val="00BC791F"/>
    <w:rsid w:val="00BD1639"/>
    <w:rsid w:val="00BD1F58"/>
    <w:rsid w:val="00BD219C"/>
    <w:rsid w:val="00BD22CC"/>
    <w:rsid w:val="00BD25CA"/>
    <w:rsid w:val="00BD2F89"/>
    <w:rsid w:val="00BD3356"/>
    <w:rsid w:val="00BD35AC"/>
    <w:rsid w:val="00BD430D"/>
    <w:rsid w:val="00BD4365"/>
    <w:rsid w:val="00BD4E0F"/>
    <w:rsid w:val="00BD4F59"/>
    <w:rsid w:val="00BD5784"/>
    <w:rsid w:val="00BE1000"/>
    <w:rsid w:val="00BE1864"/>
    <w:rsid w:val="00BE1D6C"/>
    <w:rsid w:val="00BE3788"/>
    <w:rsid w:val="00BE382F"/>
    <w:rsid w:val="00BE39D4"/>
    <w:rsid w:val="00BE46A4"/>
    <w:rsid w:val="00BE5194"/>
    <w:rsid w:val="00BE58FF"/>
    <w:rsid w:val="00BE6282"/>
    <w:rsid w:val="00BE6935"/>
    <w:rsid w:val="00BE6F8F"/>
    <w:rsid w:val="00BE73DF"/>
    <w:rsid w:val="00BE75CB"/>
    <w:rsid w:val="00BE7DF5"/>
    <w:rsid w:val="00BF0DB0"/>
    <w:rsid w:val="00BF1BE2"/>
    <w:rsid w:val="00BF1F84"/>
    <w:rsid w:val="00BF2847"/>
    <w:rsid w:val="00BF2BD8"/>
    <w:rsid w:val="00BF3C21"/>
    <w:rsid w:val="00BF437C"/>
    <w:rsid w:val="00BF46E0"/>
    <w:rsid w:val="00BF4C5D"/>
    <w:rsid w:val="00BF51C5"/>
    <w:rsid w:val="00BF53EF"/>
    <w:rsid w:val="00BF54F2"/>
    <w:rsid w:val="00BF5518"/>
    <w:rsid w:val="00BF64F8"/>
    <w:rsid w:val="00BF6955"/>
    <w:rsid w:val="00BF7DF2"/>
    <w:rsid w:val="00BF7F06"/>
    <w:rsid w:val="00C007AC"/>
    <w:rsid w:val="00C037A7"/>
    <w:rsid w:val="00C03A81"/>
    <w:rsid w:val="00C03E0F"/>
    <w:rsid w:val="00C0475B"/>
    <w:rsid w:val="00C04821"/>
    <w:rsid w:val="00C0584B"/>
    <w:rsid w:val="00C05DDD"/>
    <w:rsid w:val="00C06CD6"/>
    <w:rsid w:val="00C06FB1"/>
    <w:rsid w:val="00C1064D"/>
    <w:rsid w:val="00C10D4B"/>
    <w:rsid w:val="00C11327"/>
    <w:rsid w:val="00C1138E"/>
    <w:rsid w:val="00C11941"/>
    <w:rsid w:val="00C1233F"/>
    <w:rsid w:val="00C12A53"/>
    <w:rsid w:val="00C12CB6"/>
    <w:rsid w:val="00C13D02"/>
    <w:rsid w:val="00C13F41"/>
    <w:rsid w:val="00C145EA"/>
    <w:rsid w:val="00C15038"/>
    <w:rsid w:val="00C15F36"/>
    <w:rsid w:val="00C16219"/>
    <w:rsid w:val="00C1789A"/>
    <w:rsid w:val="00C17964"/>
    <w:rsid w:val="00C17B1B"/>
    <w:rsid w:val="00C20991"/>
    <w:rsid w:val="00C20E1B"/>
    <w:rsid w:val="00C2171B"/>
    <w:rsid w:val="00C21782"/>
    <w:rsid w:val="00C21F79"/>
    <w:rsid w:val="00C234F7"/>
    <w:rsid w:val="00C24DC7"/>
    <w:rsid w:val="00C252B6"/>
    <w:rsid w:val="00C27B08"/>
    <w:rsid w:val="00C27F98"/>
    <w:rsid w:val="00C30879"/>
    <w:rsid w:val="00C30E56"/>
    <w:rsid w:val="00C31032"/>
    <w:rsid w:val="00C32ADD"/>
    <w:rsid w:val="00C3487A"/>
    <w:rsid w:val="00C34894"/>
    <w:rsid w:val="00C35241"/>
    <w:rsid w:val="00C35A45"/>
    <w:rsid w:val="00C364E4"/>
    <w:rsid w:val="00C376D2"/>
    <w:rsid w:val="00C37850"/>
    <w:rsid w:val="00C379F1"/>
    <w:rsid w:val="00C37FA4"/>
    <w:rsid w:val="00C410BF"/>
    <w:rsid w:val="00C4360D"/>
    <w:rsid w:val="00C44238"/>
    <w:rsid w:val="00C45845"/>
    <w:rsid w:val="00C45897"/>
    <w:rsid w:val="00C46069"/>
    <w:rsid w:val="00C466AC"/>
    <w:rsid w:val="00C466DE"/>
    <w:rsid w:val="00C46B8E"/>
    <w:rsid w:val="00C502EA"/>
    <w:rsid w:val="00C505DE"/>
    <w:rsid w:val="00C522D7"/>
    <w:rsid w:val="00C5356E"/>
    <w:rsid w:val="00C53911"/>
    <w:rsid w:val="00C5514B"/>
    <w:rsid w:val="00C55F47"/>
    <w:rsid w:val="00C604D9"/>
    <w:rsid w:val="00C60CB5"/>
    <w:rsid w:val="00C60D3A"/>
    <w:rsid w:val="00C61E2C"/>
    <w:rsid w:val="00C6307D"/>
    <w:rsid w:val="00C640D3"/>
    <w:rsid w:val="00C64D70"/>
    <w:rsid w:val="00C65669"/>
    <w:rsid w:val="00C65875"/>
    <w:rsid w:val="00C66101"/>
    <w:rsid w:val="00C6731A"/>
    <w:rsid w:val="00C703F6"/>
    <w:rsid w:val="00C726BB"/>
    <w:rsid w:val="00C72DA6"/>
    <w:rsid w:val="00C745C0"/>
    <w:rsid w:val="00C74614"/>
    <w:rsid w:val="00C753D4"/>
    <w:rsid w:val="00C7747B"/>
    <w:rsid w:val="00C82F26"/>
    <w:rsid w:val="00C8381F"/>
    <w:rsid w:val="00C84472"/>
    <w:rsid w:val="00C844DB"/>
    <w:rsid w:val="00C84A91"/>
    <w:rsid w:val="00C84C2B"/>
    <w:rsid w:val="00C85EFB"/>
    <w:rsid w:val="00C867DE"/>
    <w:rsid w:val="00C87791"/>
    <w:rsid w:val="00C908B9"/>
    <w:rsid w:val="00C90BEC"/>
    <w:rsid w:val="00C92C05"/>
    <w:rsid w:val="00C933D9"/>
    <w:rsid w:val="00C93829"/>
    <w:rsid w:val="00C94190"/>
    <w:rsid w:val="00C947D7"/>
    <w:rsid w:val="00C95025"/>
    <w:rsid w:val="00C9508B"/>
    <w:rsid w:val="00C97D29"/>
    <w:rsid w:val="00CA0677"/>
    <w:rsid w:val="00CA07FE"/>
    <w:rsid w:val="00CA1389"/>
    <w:rsid w:val="00CA175D"/>
    <w:rsid w:val="00CA20E0"/>
    <w:rsid w:val="00CA25B3"/>
    <w:rsid w:val="00CA2979"/>
    <w:rsid w:val="00CA2ADE"/>
    <w:rsid w:val="00CA2FAA"/>
    <w:rsid w:val="00CA3357"/>
    <w:rsid w:val="00CA3AB1"/>
    <w:rsid w:val="00CA3BAA"/>
    <w:rsid w:val="00CA3C78"/>
    <w:rsid w:val="00CA50CE"/>
    <w:rsid w:val="00CA63F2"/>
    <w:rsid w:val="00CB048D"/>
    <w:rsid w:val="00CB1FC9"/>
    <w:rsid w:val="00CB23CD"/>
    <w:rsid w:val="00CB23F2"/>
    <w:rsid w:val="00CB3DFD"/>
    <w:rsid w:val="00CB5455"/>
    <w:rsid w:val="00CB7D5C"/>
    <w:rsid w:val="00CC0400"/>
    <w:rsid w:val="00CC0FEF"/>
    <w:rsid w:val="00CC1915"/>
    <w:rsid w:val="00CC3326"/>
    <w:rsid w:val="00CC3C4F"/>
    <w:rsid w:val="00CC51A9"/>
    <w:rsid w:val="00CD0963"/>
    <w:rsid w:val="00CD14A2"/>
    <w:rsid w:val="00CD1A45"/>
    <w:rsid w:val="00CD1CF4"/>
    <w:rsid w:val="00CD205E"/>
    <w:rsid w:val="00CD26BC"/>
    <w:rsid w:val="00CD33DC"/>
    <w:rsid w:val="00CD3B04"/>
    <w:rsid w:val="00CD3E4F"/>
    <w:rsid w:val="00CD4D8C"/>
    <w:rsid w:val="00CD5157"/>
    <w:rsid w:val="00CD5AD4"/>
    <w:rsid w:val="00CD6E7F"/>
    <w:rsid w:val="00CD7FE1"/>
    <w:rsid w:val="00CE1797"/>
    <w:rsid w:val="00CE2884"/>
    <w:rsid w:val="00CE37B7"/>
    <w:rsid w:val="00CE3933"/>
    <w:rsid w:val="00CE66DA"/>
    <w:rsid w:val="00CE7968"/>
    <w:rsid w:val="00CE7E9E"/>
    <w:rsid w:val="00CF0471"/>
    <w:rsid w:val="00CF08DA"/>
    <w:rsid w:val="00CF1B29"/>
    <w:rsid w:val="00CF1FB1"/>
    <w:rsid w:val="00CF28F1"/>
    <w:rsid w:val="00CF2BF9"/>
    <w:rsid w:val="00CF449E"/>
    <w:rsid w:val="00CF46FB"/>
    <w:rsid w:val="00CF4CD7"/>
    <w:rsid w:val="00CF531C"/>
    <w:rsid w:val="00CF55A7"/>
    <w:rsid w:val="00CF581F"/>
    <w:rsid w:val="00CF6277"/>
    <w:rsid w:val="00CF66F2"/>
    <w:rsid w:val="00CF697B"/>
    <w:rsid w:val="00CF6C5E"/>
    <w:rsid w:val="00CF7749"/>
    <w:rsid w:val="00CF7BAF"/>
    <w:rsid w:val="00D01740"/>
    <w:rsid w:val="00D020BB"/>
    <w:rsid w:val="00D03B6A"/>
    <w:rsid w:val="00D0771E"/>
    <w:rsid w:val="00D10450"/>
    <w:rsid w:val="00D10D3D"/>
    <w:rsid w:val="00D10F6A"/>
    <w:rsid w:val="00D1314D"/>
    <w:rsid w:val="00D1367F"/>
    <w:rsid w:val="00D1414E"/>
    <w:rsid w:val="00D14F35"/>
    <w:rsid w:val="00D1669F"/>
    <w:rsid w:val="00D2031A"/>
    <w:rsid w:val="00D22BB9"/>
    <w:rsid w:val="00D23383"/>
    <w:rsid w:val="00D24873"/>
    <w:rsid w:val="00D25ADA"/>
    <w:rsid w:val="00D25F9C"/>
    <w:rsid w:val="00D263DB"/>
    <w:rsid w:val="00D2786C"/>
    <w:rsid w:val="00D3037A"/>
    <w:rsid w:val="00D30A3F"/>
    <w:rsid w:val="00D30B85"/>
    <w:rsid w:val="00D30F28"/>
    <w:rsid w:val="00D3167B"/>
    <w:rsid w:val="00D31D55"/>
    <w:rsid w:val="00D32162"/>
    <w:rsid w:val="00D32DE9"/>
    <w:rsid w:val="00D33F82"/>
    <w:rsid w:val="00D344A3"/>
    <w:rsid w:val="00D34645"/>
    <w:rsid w:val="00D368BB"/>
    <w:rsid w:val="00D37804"/>
    <w:rsid w:val="00D37E59"/>
    <w:rsid w:val="00D40420"/>
    <w:rsid w:val="00D40FD4"/>
    <w:rsid w:val="00D41AF1"/>
    <w:rsid w:val="00D4251E"/>
    <w:rsid w:val="00D42700"/>
    <w:rsid w:val="00D43C4B"/>
    <w:rsid w:val="00D44021"/>
    <w:rsid w:val="00D44167"/>
    <w:rsid w:val="00D44A31"/>
    <w:rsid w:val="00D44C6E"/>
    <w:rsid w:val="00D44DFF"/>
    <w:rsid w:val="00D44E14"/>
    <w:rsid w:val="00D4560F"/>
    <w:rsid w:val="00D458F7"/>
    <w:rsid w:val="00D4636E"/>
    <w:rsid w:val="00D4743B"/>
    <w:rsid w:val="00D504E2"/>
    <w:rsid w:val="00D516D5"/>
    <w:rsid w:val="00D52194"/>
    <w:rsid w:val="00D52CE5"/>
    <w:rsid w:val="00D53AEC"/>
    <w:rsid w:val="00D53BB3"/>
    <w:rsid w:val="00D551BF"/>
    <w:rsid w:val="00D5524B"/>
    <w:rsid w:val="00D55AF5"/>
    <w:rsid w:val="00D55B8B"/>
    <w:rsid w:val="00D56C8D"/>
    <w:rsid w:val="00D57F49"/>
    <w:rsid w:val="00D61853"/>
    <w:rsid w:val="00D61AE9"/>
    <w:rsid w:val="00D61FAD"/>
    <w:rsid w:val="00D62FFA"/>
    <w:rsid w:val="00D63614"/>
    <w:rsid w:val="00D63E1D"/>
    <w:rsid w:val="00D64300"/>
    <w:rsid w:val="00D648B4"/>
    <w:rsid w:val="00D6508D"/>
    <w:rsid w:val="00D654AE"/>
    <w:rsid w:val="00D665C8"/>
    <w:rsid w:val="00D675EE"/>
    <w:rsid w:val="00D67AD6"/>
    <w:rsid w:val="00D70D27"/>
    <w:rsid w:val="00D7124D"/>
    <w:rsid w:val="00D71BE5"/>
    <w:rsid w:val="00D71D80"/>
    <w:rsid w:val="00D71E44"/>
    <w:rsid w:val="00D71EEC"/>
    <w:rsid w:val="00D72095"/>
    <w:rsid w:val="00D72515"/>
    <w:rsid w:val="00D72FC3"/>
    <w:rsid w:val="00D75D02"/>
    <w:rsid w:val="00D77AB2"/>
    <w:rsid w:val="00D8081D"/>
    <w:rsid w:val="00D80B45"/>
    <w:rsid w:val="00D83EC9"/>
    <w:rsid w:val="00D85258"/>
    <w:rsid w:val="00D905D8"/>
    <w:rsid w:val="00D9094B"/>
    <w:rsid w:val="00D90985"/>
    <w:rsid w:val="00D90A62"/>
    <w:rsid w:val="00D910CB"/>
    <w:rsid w:val="00D91176"/>
    <w:rsid w:val="00D911A8"/>
    <w:rsid w:val="00D913A5"/>
    <w:rsid w:val="00D92070"/>
    <w:rsid w:val="00D930E5"/>
    <w:rsid w:val="00D936D7"/>
    <w:rsid w:val="00D9376A"/>
    <w:rsid w:val="00D93833"/>
    <w:rsid w:val="00D93A4B"/>
    <w:rsid w:val="00D93B99"/>
    <w:rsid w:val="00D93E97"/>
    <w:rsid w:val="00D94921"/>
    <w:rsid w:val="00D95700"/>
    <w:rsid w:val="00D9579D"/>
    <w:rsid w:val="00D9599C"/>
    <w:rsid w:val="00D96A2D"/>
    <w:rsid w:val="00D96AB3"/>
    <w:rsid w:val="00D97DD1"/>
    <w:rsid w:val="00DA0912"/>
    <w:rsid w:val="00DA1D29"/>
    <w:rsid w:val="00DA2B01"/>
    <w:rsid w:val="00DA35C7"/>
    <w:rsid w:val="00DA35E2"/>
    <w:rsid w:val="00DA5B8F"/>
    <w:rsid w:val="00DA6155"/>
    <w:rsid w:val="00DA6BFC"/>
    <w:rsid w:val="00DA7821"/>
    <w:rsid w:val="00DB1D6F"/>
    <w:rsid w:val="00DB3BB9"/>
    <w:rsid w:val="00DB4071"/>
    <w:rsid w:val="00DB4E41"/>
    <w:rsid w:val="00DB505A"/>
    <w:rsid w:val="00DB63ED"/>
    <w:rsid w:val="00DB6B0B"/>
    <w:rsid w:val="00DB72B9"/>
    <w:rsid w:val="00DB73A7"/>
    <w:rsid w:val="00DB7E04"/>
    <w:rsid w:val="00DC06A6"/>
    <w:rsid w:val="00DC0EC9"/>
    <w:rsid w:val="00DC28D5"/>
    <w:rsid w:val="00DC356C"/>
    <w:rsid w:val="00DC38DF"/>
    <w:rsid w:val="00DC47C4"/>
    <w:rsid w:val="00DC766E"/>
    <w:rsid w:val="00DD0011"/>
    <w:rsid w:val="00DD092C"/>
    <w:rsid w:val="00DD3AAA"/>
    <w:rsid w:val="00DD4237"/>
    <w:rsid w:val="00DD4475"/>
    <w:rsid w:val="00DD492D"/>
    <w:rsid w:val="00DD5930"/>
    <w:rsid w:val="00DD79CE"/>
    <w:rsid w:val="00DE0B25"/>
    <w:rsid w:val="00DE1D0A"/>
    <w:rsid w:val="00DE1DA4"/>
    <w:rsid w:val="00DE368C"/>
    <w:rsid w:val="00DE4338"/>
    <w:rsid w:val="00DE5468"/>
    <w:rsid w:val="00DE575B"/>
    <w:rsid w:val="00DE594B"/>
    <w:rsid w:val="00DE5CA1"/>
    <w:rsid w:val="00DE6455"/>
    <w:rsid w:val="00DE6900"/>
    <w:rsid w:val="00DE7742"/>
    <w:rsid w:val="00DE7794"/>
    <w:rsid w:val="00DF022D"/>
    <w:rsid w:val="00DF1196"/>
    <w:rsid w:val="00DF123B"/>
    <w:rsid w:val="00DF1EAA"/>
    <w:rsid w:val="00DF3E2F"/>
    <w:rsid w:val="00DF4357"/>
    <w:rsid w:val="00DF4BD0"/>
    <w:rsid w:val="00DF6C58"/>
    <w:rsid w:val="00DF71C5"/>
    <w:rsid w:val="00E00F1A"/>
    <w:rsid w:val="00E015D2"/>
    <w:rsid w:val="00E0168A"/>
    <w:rsid w:val="00E017C1"/>
    <w:rsid w:val="00E01961"/>
    <w:rsid w:val="00E01F2D"/>
    <w:rsid w:val="00E03970"/>
    <w:rsid w:val="00E049CF"/>
    <w:rsid w:val="00E05CBB"/>
    <w:rsid w:val="00E07673"/>
    <w:rsid w:val="00E102F4"/>
    <w:rsid w:val="00E11121"/>
    <w:rsid w:val="00E12D1B"/>
    <w:rsid w:val="00E14B29"/>
    <w:rsid w:val="00E14D05"/>
    <w:rsid w:val="00E16B13"/>
    <w:rsid w:val="00E16DD6"/>
    <w:rsid w:val="00E17301"/>
    <w:rsid w:val="00E20A9A"/>
    <w:rsid w:val="00E22FD4"/>
    <w:rsid w:val="00E232D1"/>
    <w:rsid w:val="00E23400"/>
    <w:rsid w:val="00E23C4D"/>
    <w:rsid w:val="00E244D7"/>
    <w:rsid w:val="00E256D3"/>
    <w:rsid w:val="00E25C5F"/>
    <w:rsid w:val="00E25F4F"/>
    <w:rsid w:val="00E264C0"/>
    <w:rsid w:val="00E26741"/>
    <w:rsid w:val="00E31654"/>
    <w:rsid w:val="00E31EFF"/>
    <w:rsid w:val="00E33DC1"/>
    <w:rsid w:val="00E33E2B"/>
    <w:rsid w:val="00E34136"/>
    <w:rsid w:val="00E34576"/>
    <w:rsid w:val="00E3549C"/>
    <w:rsid w:val="00E355EE"/>
    <w:rsid w:val="00E3615D"/>
    <w:rsid w:val="00E41989"/>
    <w:rsid w:val="00E42457"/>
    <w:rsid w:val="00E42F84"/>
    <w:rsid w:val="00E43BB7"/>
    <w:rsid w:val="00E45744"/>
    <w:rsid w:val="00E46C27"/>
    <w:rsid w:val="00E47A2C"/>
    <w:rsid w:val="00E47B8B"/>
    <w:rsid w:val="00E47D8D"/>
    <w:rsid w:val="00E5076E"/>
    <w:rsid w:val="00E51451"/>
    <w:rsid w:val="00E516EB"/>
    <w:rsid w:val="00E53A85"/>
    <w:rsid w:val="00E53BE3"/>
    <w:rsid w:val="00E53C90"/>
    <w:rsid w:val="00E54279"/>
    <w:rsid w:val="00E5513F"/>
    <w:rsid w:val="00E55430"/>
    <w:rsid w:val="00E559E3"/>
    <w:rsid w:val="00E56471"/>
    <w:rsid w:val="00E56BF3"/>
    <w:rsid w:val="00E57E7E"/>
    <w:rsid w:val="00E60B1F"/>
    <w:rsid w:val="00E62211"/>
    <w:rsid w:val="00E63267"/>
    <w:rsid w:val="00E64EF0"/>
    <w:rsid w:val="00E65757"/>
    <w:rsid w:val="00E65AD1"/>
    <w:rsid w:val="00E65EE8"/>
    <w:rsid w:val="00E661A5"/>
    <w:rsid w:val="00E661D0"/>
    <w:rsid w:val="00E66D4C"/>
    <w:rsid w:val="00E66D96"/>
    <w:rsid w:val="00E70CED"/>
    <w:rsid w:val="00E712C8"/>
    <w:rsid w:val="00E715B2"/>
    <w:rsid w:val="00E72A42"/>
    <w:rsid w:val="00E72E8D"/>
    <w:rsid w:val="00E742CF"/>
    <w:rsid w:val="00E745CD"/>
    <w:rsid w:val="00E74DEC"/>
    <w:rsid w:val="00E7753B"/>
    <w:rsid w:val="00E80443"/>
    <w:rsid w:val="00E80D81"/>
    <w:rsid w:val="00E8144F"/>
    <w:rsid w:val="00E81B1B"/>
    <w:rsid w:val="00E83597"/>
    <w:rsid w:val="00E83B66"/>
    <w:rsid w:val="00E842E4"/>
    <w:rsid w:val="00E845C6"/>
    <w:rsid w:val="00E84C25"/>
    <w:rsid w:val="00E851CF"/>
    <w:rsid w:val="00E85C60"/>
    <w:rsid w:val="00E860F0"/>
    <w:rsid w:val="00E870CE"/>
    <w:rsid w:val="00E87202"/>
    <w:rsid w:val="00E8774C"/>
    <w:rsid w:val="00E878D0"/>
    <w:rsid w:val="00E9167F"/>
    <w:rsid w:val="00E91708"/>
    <w:rsid w:val="00E9282E"/>
    <w:rsid w:val="00E92873"/>
    <w:rsid w:val="00E940A6"/>
    <w:rsid w:val="00E94C83"/>
    <w:rsid w:val="00E95142"/>
    <w:rsid w:val="00E951EE"/>
    <w:rsid w:val="00E95829"/>
    <w:rsid w:val="00E977C7"/>
    <w:rsid w:val="00EA0104"/>
    <w:rsid w:val="00EA01CF"/>
    <w:rsid w:val="00EA0C8C"/>
    <w:rsid w:val="00EA3B4D"/>
    <w:rsid w:val="00EA3C7E"/>
    <w:rsid w:val="00EA4AA0"/>
    <w:rsid w:val="00EA528A"/>
    <w:rsid w:val="00EA5403"/>
    <w:rsid w:val="00EA5641"/>
    <w:rsid w:val="00EA588F"/>
    <w:rsid w:val="00EA5AAF"/>
    <w:rsid w:val="00EA629D"/>
    <w:rsid w:val="00EA6998"/>
    <w:rsid w:val="00EB0DC5"/>
    <w:rsid w:val="00EB12AE"/>
    <w:rsid w:val="00EB418F"/>
    <w:rsid w:val="00EB45F9"/>
    <w:rsid w:val="00EB5418"/>
    <w:rsid w:val="00EB56F1"/>
    <w:rsid w:val="00EB5BDA"/>
    <w:rsid w:val="00EB6845"/>
    <w:rsid w:val="00EB7A7A"/>
    <w:rsid w:val="00EC1162"/>
    <w:rsid w:val="00EC1B08"/>
    <w:rsid w:val="00EC5569"/>
    <w:rsid w:val="00ED02A9"/>
    <w:rsid w:val="00ED03E8"/>
    <w:rsid w:val="00ED0401"/>
    <w:rsid w:val="00ED13FE"/>
    <w:rsid w:val="00ED182F"/>
    <w:rsid w:val="00ED2CF9"/>
    <w:rsid w:val="00ED2D2F"/>
    <w:rsid w:val="00ED561E"/>
    <w:rsid w:val="00ED6EB1"/>
    <w:rsid w:val="00ED7160"/>
    <w:rsid w:val="00ED762C"/>
    <w:rsid w:val="00ED7943"/>
    <w:rsid w:val="00EE13FC"/>
    <w:rsid w:val="00EE22BA"/>
    <w:rsid w:val="00EE4E46"/>
    <w:rsid w:val="00EE5B9F"/>
    <w:rsid w:val="00EE6067"/>
    <w:rsid w:val="00EE6EC8"/>
    <w:rsid w:val="00EE7C4C"/>
    <w:rsid w:val="00EF0195"/>
    <w:rsid w:val="00EF0ECE"/>
    <w:rsid w:val="00EF19F1"/>
    <w:rsid w:val="00EF1D9E"/>
    <w:rsid w:val="00EF2F82"/>
    <w:rsid w:val="00EF3B6D"/>
    <w:rsid w:val="00EF3DA6"/>
    <w:rsid w:val="00EF4641"/>
    <w:rsid w:val="00EF4BC8"/>
    <w:rsid w:val="00EF4D49"/>
    <w:rsid w:val="00EF55D9"/>
    <w:rsid w:val="00EF6950"/>
    <w:rsid w:val="00EF7414"/>
    <w:rsid w:val="00F00EF4"/>
    <w:rsid w:val="00F011A6"/>
    <w:rsid w:val="00F0120A"/>
    <w:rsid w:val="00F0163C"/>
    <w:rsid w:val="00F03BAC"/>
    <w:rsid w:val="00F04602"/>
    <w:rsid w:val="00F04780"/>
    <w:rsid w:val="00F0547B"/>
    <w:rsid w:val="00F0556E"/>
    <w:rsid w:val="00F06EB3"/>
    <w:rsid w:val="00F079CB"/>
    <w:rsid w:val="00F10F45"/>
    <w:rsid w:val="00F115F1"/>
    <w:rsid w:val="00F12B18"/>
    <w:rsid w:val="00F14288"/>
    <w:rsid w:val="00F14D30"/>
    <w:rsid w:val="00F172FB"/>
    <w:rsid w:val="00F17841"/>
    <w:rsid w:val="00F17E2B"/>
    <w:rsid w:val="00F2006A"/>
    <w:rsid w:val="00F20860"/>
    <w:rsid w:val="00F20FB0"/>
    <w:rsid w:val="00F21231"/>
    <w:rsid w:val="00F2510B"/>
    <w:rsid w:val="00F26EE4"/>
    <w:rsid w:val="00F27864"/>
    <w:rsid w:val="00F3060B"/>
    <w:rsid w:val="00F31437"/>
    <w:rsid w:val="00F32863"/>
    <w:rsid w:val="00F34088"/>
    <w:rsid w:val="00F3435D"/>
    <w:rsid w:val="00F35EB3"/>
    <w:rsid w:val="00F36A6D"/>
    <w:rsid w:val="00F36B6D"/>
    <w:rsid w:val="00F3740C"/>
    <w:rsid w:val="00F37581"/>
    <w:rsid w:val="00F377C0"/>
    <w:rsid w:val="00F4078C"/>
    <w:rsid w:val="00F40EB2"/>
    <w:rsid w:val="00F451C9"/>
    <w:rsid w:val="00F462C2"/>
    <w:rsid w:val="00F47B17"/>
    <w:rsid w:val="00F47EAA"/>
    <w:rsid w:val="00F47F12"/>
    <w:rsid w:val="00F50947"/>
    <w:rsid w:val="00F50D23"/>
    <w:rsid w:val="00F5105D"/>
    <w:rsid w:val="00F522D0"/>
    <w:rsid w:val="00F52741"/>
    <w:rsid w:val="00F53566"/>
    <w:rsid w:val="00F53C80"/>
    <w:rsid w:val="00F54271"/>
    <w:rsid w:val="00F5477F"/>
    <w:rsid w:val="00F568B5"/>
    <w:rsid w:val="00F571A5"/>
    <w:rsid w:val="00F5756C"/>
    <w:rsid w:val="00F60903"/>
    <w:rsid w:val="00F6140F"/>
    <w:rsid w:val="00F621E2"/>
    <w:rsid w:val="00F62320"/>
    <w:rsid w:val="00F623D7"/>
    <w:rsid w:val="00F63341"/>
    <w:rsid w:val="00F655CE"/>
    <w:rsid w:val="00F65A8D"/>
    <w:rsid w:val="00F66EA3"/>
    <w:rsid w:val="00F66F27"/>
    <w:rsid w:val="00F67B39"/>
    <w:rsid w:val="00F67E4D"/>
    <w:rsid w:val="00F7142B"/>
    <w:rsid w:val="00F71533"/>
    <w:rsid w:val="00F73700"/>
    <w:rsid w:val="00F74013"/>
    <w:rsid w:val="00F744AE"/>
    <w:rsid w:val="00F75098"/>
    <w:rsid w:val="00F7521B"/>
    <w:rsid w:val="00F75812"/>
    <w:rsid w:val="00F767BD"/>
    <w:rsid w:val="00F769BB"/>
    <w:rsid w:val="00F82024"/>
    <w:rsid w:val="00F833E8"/>
    <w:rsid w:val="00F83734"/>
    <w:rsid w:val="00F849A0"/>
    <w:rsid w:val="00F85282"/>
    <w:rsid w:val="00F85C8F"/>
    <w:rsid w:val="00F85FFA"/>
    <w:rsid w:val="00F86180"/>
    <w:rsid w:val="00F867FD"/>
    <w:rsid w:val="00F86882"/>
    <w:rsid w:val="00F86A0B"/>
    <w:rsid w:val="00F87CD5"/>
    <w:rsid w:val="00F91673"/>
    <w:rsid w:val="00F92896"/>
    <w:rsid w:val="00F95778"/>
    <w:rsid w:val="00F959CC"/>
    <w:rsid w:val="00F961C2"/>
    <w:rsid w:val="00F9669B"/>
    <w:rsid w:val="00F976D6"/>
    <w:rsid w:val="00FA09F4"/>
    <w:rsid w:val="00FA112C"/>
    <w:rsid w:val="00FA1420"/>
    <w:rsid w:val="00FA29BD"/>
    <w:rsid w:val="00FA2AC7"/>
    <w:rsid w:val="00FA3ABD"/>
    <w:rsid w:val="00FA4FCD"/>
    <w:rsid w:val="00FA5610"/>
    <w:rsid w:val="00FA5859"/>
    <w:rsid w:val="00FA62FA"/>
    <w:rsid w:val="00FA6D80"/>
    <w:rsid w:val="00FA7130"/>
    <w:rsid w:val="00FA735E"/>
    <w:rsid w:val="00FB26B8"/>
    <w:rsid w:val="00FB2938"/>
    <w:rsid w:val="00FB314A"/>
    <w:rsid w:val="00FB45BE"/>
    <w:rsid w:val="00FB50AD"/>
    <w:rsid w:val="00FB563C"/>
    <w:rsid w:val="00FB5985"/>
    <w:rsid w:val="00FB6A88"/>
    <w:rsid w:val="00FC1E71"/>
    <w:rsid w:val="00FC27C8"/>
    <w:rsid w:val="00FC2DE4"/>
    <w:rsid w:val="00FC33D4"/>
    <w:rsid w:val="00FC3819"/>
    <w:rsid w:val="00FC5CC2"/>
    <w:rsid w:val="00FC5E76"/>
    <w:rsid w:val="00FC63B8"/>
    <w:rsid w:val="00FC645A"/>
    <w:rsid w:val="00FC6E45"/>
    <w:rsid w:val="00FC7282"/>
    <w:rsid w:val="00FD085A"/>
    <w:rsid w:val="00FD12A9"/>
    <w:rsid w:val="00FD2258"/>
    <w:rsid w:val="00FD2E52"/>
    <w:rsid w:val="00FD3A2E"/>
    <w:rsid w:val="00FD3DA1"/>
    <w:rsid w:val="00FD4619"/>
    <w:rsid w:val="00FD4630"/>
    <w:rsid w:val="00FD4C33"/>
    <w:rsid w:val="00FD556F"/>
    <w:rsid w:val="00FD5ADC"/>
    <w:rsid w:val="00FD67FA"/>
    <w:rsid w:val="00FD72EC"/>
    <w:rsid w:val="00FD7AF7"/>
    <w:rsid w:val="00FE0027"/>
    <w:rsid w:val="00FE0D9D"/>
    <w:rsid w:val="00FE1160"/>
    <w:rsid w:val="00FE15CA"/>
    <w:rsid w:val="00FE1BE5"/>
    <w:rsid w:val="00FE376A"/>
    <w:rsid w:val="00FE399E"/>
    <w:rsid w:val="00FE680F"/>
    <w:rsid w:val="00FE7C77"/>
    <w:rsid w:val="00FF0739"/>
    <w:rsid w:val="00FF0A04"/>
    <w:rsid w:val="00FF2EE6"/>
    <w:rsid w:val="00FF2F55"/>
    <w:rsid w:val="00FF3729"/>
    <w:rsid w:val="00FF4788"/>
    <w:rsid w:val="00FF4CA7"/>
    <w:rsid w:val="00FF64A1"/>
    <w:rsid w:val="00FF7CB1"/>
    <w:rsid w:val="0E8B8229"/>
    <w:rsid w:val="151D6263"/>
    <w:rsid w:val="15A275FB"/>
    <w:rsid w:val="16F5789C"/>
    <w:rsid w:val="2254185A"/>
    <w:rsid w:val="23666E02"/>
    <w:rsid w:val="40895215"/>
    <w:rsid w:val="47396C56"/>
    <w:rsid w:val="4863472A"/>
    <w:rsid w:val="501FDCDB"/>
    <w:rsid w:val="52C26609"/>
    <w:rsid w:val="59F0992F"/>
    <w:rsid w:val="611A08EF"/>
    <w:rsid w:val="665CA13F"/>
    <w:rsid w:val="6F06C028"/>
    <w:rsid w:val="6F1B2CC0"/>
    <w:rsid w:val="79168022"/>
    <w:rsid w:val="7962F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1]" strokecolor="none [3200]">
      <v:fill color="none [3201]"/>
      <v:stroke color="none [3200]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0"/>
    <w:pPr>
      <w:spacing w:before="120" w:after="120"/>
      <w:jc w:val="both"/>
    </w:pPr>
    <w:rPr>
      <w:rFonts w:ascii="Verdana" w:hAnsi="Verdana"/>
      <w:sz w:val="20"/>
    </w:rPr>
  </w:style>
  <w:style w:type="paragraph" w:styleId="Nagwek1">
    <w:name w:val="heading 1"/>
    <w:basedOn w:val="Tytu"/>
    <w:next w:val="Normalny"/>
    <w:link w:val="Nagwek1Znak"/>
    <w:uiPriority w:val="9"/>
    <w:qFormat/>
    <w:rsid w:val="00177429"/>
    <w:pPr>
      <w:keepNext/>
      <w:numPr>
        <w:numId w:val="33"/>
      </w:numPr>
      <w:spacing w:after="200" w:line="360" w:lineRule="auto"/>
      <w:outlineLvl w:val="0"/>
    </w:pPr>
    <w:rPr>
      <w:rFonts w:ascii="Verdana" w:eastAsia="MS Mincho" w:hAnsi="Verdana" w:cs="Arial"/>
      <w:b/>
      <w:color w:val="000000"/>
      <w:sz w:val="32"/>
      <w:szCs w:val="32"/>
      <w:lang w:eastAsia="fr-FR"/>
    </w:rPr>
  </w:style>
  <w:style w:type="paragraph" w:styleId="Nagwek2">
    <w:name w:val="heading 2"/>
    <w:basedOn w:val="Bezodstpw"/>
    <w:next w:val="Normalny"/>
    <w:link w:val="Nagwek2Znak"/>
    <w:autoRedefine/>
    <w:uiPriority w:val="9"/>
    <w:unhideWhenUsed/>
    <w:qFormat/>
    <w:rsid w:val="00583446"/>
    <w:pPr>
      <w:keepNext/>
      <w:keepLines/>
      <w:numPr>
        <w:ilvl w:val="1"/>
        <w:numId w:val="33"/>
      </w:numPr>
      <w:spacing w:before="200" w:after="120"/>
      <w:outlineLvl w:val="1"/>
    </w:pPr>
    <w:rPr>
      <w:rFonts w:ascii="Verdana" w:eastAsiaTheme="minorEastAsia" w:hAnsi="Verdana" w:cs="Arial"/>
      <w:b/>
      <w:bCs/>
      <w:i/>
    </w:rPr>
  </w:style>
  <w:style w:type="paragraph" w:styleId="Nagwek3">
    <w:name w:val="heading 3"/>
    <w:basedOn w:val="Nagwek5"/>
    <w:next w:val="Normalny"/>
    <w:link w:val="Nagwek3Znak"/>
    <w:autoRedefine/>
    <w:uiPriority w:val="9"/>
    <w:unhideWhenUsed/>
    <w:qFormat/>
    <w:rsid w:val="00C27B08"/>
    <w:pPr>
      <w:keepNext/>
      <w:keepLines/>
      <w:numPr>
        <w:ilvl w:val="2"/>
      </w:numPr>
      <w:outlineLvl w:val="2"/>
    </w:pPr>
  </w:style>
  <w:style w:type="paragraph" w:styleId="Nagwek4">
    <w:name w:val="heading 4"/>
    <w:basedOn w:val="Nagwek6"/>
    <w:next w:val="Normalny"/>
    <w:link w:val="Nagwek4Znak"/>
    <w:uiPriority w:val="9"/>
    <w:unhideWhenUsed/>
    <w:qFormat/>
    <w:rsid w:val="00BE6F8F"/>
    <w:pPr>
      <w:numPr>
        <w:ilvl w:val="0"/>
        <w:numId w:val="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rsid w:val="009C780E"/>
    <w:pPr>
      <w:numPr>
        <w:ilvl w:val="4"/>
        <w:numId w:val="33"/>
      </w:numPr>
      <w:spacing w:before="240" w:after="60" w:line="276" w:lineRule="auto"/>
      <w:outlineLvl w:val="4"/>
    </w:pPr>
    <w:rPr>
      <w:rFonts w:eastAsiaTheme="minorEastAsia"/>
      <w:b/>
      <w:bCs/>
      <w:i/>
      <w:iCs/>
      <w:color w:val="C45911" w:themeColor="accent2" w:themeShade="BF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C2DE4"/>
    <w:pPr>
      <w:numPr>
        <w:ilvl w:val="5"/>
        <w:numId w:val="33"/>
      </w:numPr>
      <w:spacing w:before="240" w:after="60" w:line="276" w:lineRule="auto"/>
      <w:outlineLvl w:val="5"/>
    </w:pPr>
    <w:rPr>
      <w:rFonts w:eastAsiaTheme="minorEastAsia" w:cs="Arial"/>
      <w:b/>
      <w:bCs/>
      <w:color w:val="000000" w:themeColor="text1"/>
      <w:szCs w:val="20"/>
      <w:u w:val="single" w:color="ED7D31" w:themeColor="accen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46E"/>
    <w:pPr>
      <w:numPr>
        <w:ilvl w:val="6"/>
        <w:numId w:val="33"/>
      </w:numPr>
      <w:spacing w:before="240" w:after="60" w:line="276" w:lineRule="auto"/>
      <w:outlineLvl w:val="6"/>
    </w:pPr>
    <w:rPr>
      <w:rFonts w:eastAsiaTheme="minorEastAs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46E"/>
    <w:pPr>
      <w:numPr>
        <w:ilvl w:val="7"/>
        <w:numId w:val="33"/>
      </w:numPr>
      <w:spacing w:before="240" w:after="60" w:line="276" w:lineRule="auto"/>
      <w:outlineLvl w:val="7"/>
    </w:pPr>
    <w:rPr>
      <w:rFonts w:eastAsiaTheme="minorEastAs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46E"/>
    <w:pPr>
      <w:numPr>
        <w:ilvl w:val="8"/>
        <w:numId w:val="33"/>
      </w:numPr>
      <w:spacing w:before="240" w:after="60" w:line="276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429"/>
    <w:rPr>
      <w:rFonts w:ascii="Verdana" w:eastAsia="MS Mincho" w:hAnsi="Verdana" w:cs="Arial"/>
      <w:b/>
      <w:color w:val="000000"/>
      <w:spacing w:val="-10"/>
      <w:kern w:val="28"/>
      <w:sz w:val="32"/>
      <w:szCs w:val="32"/>
      <w:lang w:eastAsia="fr-FR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46E"/>
    <w:pPr>
      <w:keepLines/>
      <w:numPr>
        <w:numId w:val="25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F04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446"/>
    <w:rPr>
      <w:rFonts w:ascii="Verdana" w:eastAsiaTheme="minorEastAsia" w:hAnsi="Verdana" w:cs="Arial"/>
      <w:b/>
      <w:bCs/>
      <w:i/>
    </w:rPr>
  </w:style>
  <w:style w:type="character" w:customStyle="1" w:styleId="Nagwek3Znak">
    <w:name w:val="Nagłówek 3 Znak"/>
    <w:basedOn w:val="Domylnaczcionkaakapitu"/>
    <w:link w:val="Nagwek3"/>
    <w:uiPriority w:val="9"/>
    <w:rsid w:val="00C27B08"/>
    <w:rPr>
      <w:rFonts w:ascii="Verdana" w:eastAsiaTheme="minorEastAsia" w:hAnsi="Verdana"/>
      <w:b/>
      <w:bCs/>
      <w:i/>
      <w:iCs/>
      <w:color w:val="C45911" w:themeColor="accent2" w:themeShade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C2DE4"/>
    <w:rPr>
      <w:rFonts w:ascii="Verdana" w:eastAsiaTheme="minorEastAsia" w:hAnsi="Verdana" w:cs="Arial"/>
      <w:b/>
      <w:bCs/>
      <w:color w:val="000000" w:themeColor="text1"/>
      <w:sz w:val="20"/>
      <w:szCs w:val="20"/>
      <w:u w:val="single" w:color="ED7D31" w:themeColor="accent2"/>
    </w:rPr>
  </w:style>
  <w:style w:type="character" w:customStyle="1" w:styleId="Nagwek5Znak">
    <w:name w:val="Nagłówek 5 Znak"/>
    <w:basedOn w:val="Domylnaczcionkaakapitu"/>
    <w:link w:val="Nagwek5"/>
    <w:uiPriority w:val="9"/>
    <w:rsid w:val="009C780E"/>
    <w:rPr>
      <w:rFonts w:ascii="Verdana" w:eastAsiaTheme="minorEastAsia" w:hAnsi="Verdana"/>
      <w:b/>
      <w:bCs/>
      <w:i/>
      <w:iCs/>
      <w:color w:val="C45911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FC2DE4"/>
    <w:rPr>
      <w:rFonts w:ascii="Verdana" w:eastAsiaTheme="minorEastAsia" w:hAnsi="Verdana" w:cs="Arial"/>
      <w:b/>
      <w:bCs/>
      <w:color w:val="000000" w:themeColor="text1"/>
      <w:sz w:val="20"/>
      <w:szCs w:val="20"/>
      <w:u w:val="single" w:color="ED7D31" w:themeColor="accen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46E"/>
    <w:rPr>
      <w:rFonts w:ascii="Verdana" w:eastAsiaTheme="minorEastAsia" w:hAnsi="Verdan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46E"/>
    <w:rPr>
      <w:rFonts w:ascii="Verdana" w:eastAsiaTheme="minorEastAsia" w:hAnsi="Verdan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46E"/>
    <w:rPr>
      <w:rFonts w:asciiTheme="majorHAnsi" w:eastAsiaTheme="majorEastAsia" w:hAnsiTheme="majorHAnsi" w:cstheme="majorBidi"/>
      <w:sz w:val="20"/>
    </w:rPr>
  </w:style>
  <w:style w:type="paragraph" w:styleId="Legenda">
    <w:name w:val="caption"/>
    <w:basedOn w:val="Podtytu"/>
    <w:next w:val="Normalny"/>
    <w:uiPriority w:val="35"/>
    <w:unhideWhenUsed/>
    <w:qFormat/>
    <w:rsid w:val="0049030C"/>
  </w:style>
  <w:style w:type="paragraph" w:styleId="Tytu">
    <w:name w:val="Title"/>
    <w:basedOn w:val="Normalny"/>
    <w:next w:val="Normalny"/>
    <w:link w:val="TytuZnak"/>
    <w:uiPriority w:val="10"/>
    <w:qFormat/>
    <w:rsid w:val="001F0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30C"/>
    <w:pPr>
      <w:spacing w:before="0" w:after="160" w:line="240" w:lineRule="auto"/>
      <w:jc w:val="left"/>
    </w:pPr>
    <w:rPr>
      <w:rFonts w:eastAsia="AGaramondPro-Regular" w:cs="Arial"/>
      <w:i/>
      <w:color w:val="ED7D31" w:themeColor="accent2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9030C"/>
    <w:rPr>
      <w:rFonts w:ascii="Verdana" w:eastAsia="AGaramondPro-Regular" w:hAnsi="Verdana" w:cs="Arial"/>
      <w:i/>
      <w:color w:val="ED7D31" w:themeColor="accen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046E"/>
    <w:rPr>
      <w:b/>
      <w:bCs/>
    </w:rPr>
  </w:style>
  <w:style w:type="character" w:styleId="Uwydatnienie">
    <w:name w:val="Emphasis"/>
    <w:uiPriority w:val="20"/>
    <w:qFormat/>
    <w:rsid w:val="001F046E"/>
    <w:rPr>
      <w:rFonts w:ascii="Verdana" w:eastAsia="Times New Roman" w:hAnsi="Verdana" w:cs="Arial"/>
      <w:i/>
      <w:color w:val="ED7D31" w:themeColor="accent2"/>
      <w:sz w:val="18"/>
      <w:szCs w:val="18"/>
      <w:lang w:eastAsia="en-GB"/>
    </w:rPr>
  </w:style>
  <w:style w:type="paragraph" w:styleId="Bezodstpw">
    <w:name w:val="No Spacing"/>
    <w:uiPriority w:val="1"/>
    <w:qFormat/>
    <w:rsid w:val="001F04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13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135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1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1355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1F04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46E"/>
    <w:rPr>
      <w:i/>
      <w:iCs/>
      <w:color w:val="5B9BD5" w:themeColor="accent1"/>
    </w:rPr>
  </w:style>
  <w:style w:type="character" w:styleId="Odwoaniedelikatne">
    <w:name w:val="Subtle Reference"/>
    <w:uiPriority w:val="31"/>
    <w:qFormat/>
    <w:rsid w:val="002F1355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2F1355"/>
    <w:rPr>
      <w:b/>
      <w:bCs/>
      <w:smallCaps/>
      <w:color w:val="5B9BD5" w:themeColor="accent1"/>
      <w:spacing w:val="5"/>
    </w:rPr>
  </w:style>
  <w:style w:type="character" w:styleId="Tytuksiki">
    <w:name w:val="Book Title"/>
    <w:uiPriority w:val="33"/>
    <w:qFormat/>
    <w:rsid w:val="002F1355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F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B9D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9D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 Text Char1,Footnote Text Char Char"/>
    <w:basedOn w:val="Normalny"/>
    <w:link w:val="TekstprzypisudolnegoZnak"/>
    <w:uiPriority w:val="99"/>
    <w:unhideWhenUsed/>
    <w:qFormat/>
    <w:rsid w:val="005D0B75"/>
    <w:pPr>
      <w:spacing w:after="0" w:line="240" w:lineRule="auto"/>
    </w:pPr>
  </w:style>
  <w:style w:type="character" w:customStyle="1" w:styleId="TekstprzypisudolnegoZnak">
    <w:name w:val="Tekst przypisu dolnego Znak"/>
    <w:aliases w:val="Footnote Text Char1 Znak,Footnote Text Char Char Znak"/>
    <w:basedOn w:val="Domylnaczcionkaakapitu"/>
    <w:link w:val="Tekstprzypisudolnego"/>
    <w:uiPriority w:val="99"/>
    <w:rsid w:val="005D0B75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unhideWhenUsed/>
    <w:rsid w:val="005D0B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E1D"/>
    <w:pPr>
      <w:spacing w:before="100" w:after="200"/>
    </w:pPr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E1D"/>
    <w:rPr>
      <w:rFonts w:ascii="Verdana" w:eastAsiaTheme="minorHAnsi" w:hAnsi="Verdana"/>
      <w:b/>
      <w:bCs/>
      <w:sz w:val="20"/>
    </w:rPr>
  </w:style>
  <w:style w:type="paragraph" w:customStyle="1" w:styleId="Default">
    <w:name w:val="Default"/>
    <w:rsid w:val="00C17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226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D9D9D9" w:themeFill="background1" w:themeFillShade="D9"/>
      </w:tcPr>
    </w:tblStylePr>
  </w:style>
  <w:style w:type="character" w:styleId="Hipercze">
    <w:name w:val="Hyperlink"/>
    <w:basedOn w:val="Domylnaczcionkaakapitu"/>
    <w:uiPriority w:val="99"/>
    <w:unhideWhenUsed/>
    <w:rsid w:val="00716E7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F4BD0"/>
    <w:pPr>
      <w:tabs>
        <w:tab w:val="left" w:pos="401"/>
        <w:tab w:val="right" w:leader="dot" w:pos="9016"/>
      </w:tabs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F4BD0"/>
    <w:pPr>
      <w:tabs>
        <w:tab w:val="left" w:pos="420"/>
        <w:tab w:val="right" w:leader="dot" w:pos="9016"/>
      </w:tabs>
      <w:spacing w:before="0" w:after="0"/>
    </w:pPr>
    <w:rPr>
      <w:rFonts w:asciiTheme="minorHAnsi" w:hAnsiTheme="minorHAnsi"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E47B8B"/>
    <w:pPr>
      <w:spacing w:after="0"/>
    </w:pPr>
    <w:rPr>
      <w:smallCaps/>
    </w:rPr>
  </w:style>
  <w:style w:type="paragraph" w:styleId="Poprawka">
    <w:name w:val="Revision"/>
    <w:hidden/>
    <w:uiPriority w:val="99"/>
    <w:semiHidden/>
    <w:rsid w:val="00BF7DF2"/>
    <w:pPr>
      <w:spacing w:after="0" w:line="240" w:lineRule="auto"/>
    </w:pPr>
  </w:style>
  <w:style w:type="table" w:customStyle="1" w:styleId="GridTable4-Accent11">
    <w:name w:val="Grid Table 4 - Accent 11"/>
    <w:basedOn w:val="Standardowy"/>
    <w:uiPriority w:val="49"/>
    <w:rsid w:val="00026095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E7E6E6" w:themeColor="background2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EB12AE"/>
    <w:pPr>
      <w:spacing w:after="0"/>
    </w:pPr>
  </w:style>
  <w:style w:type="paragraph" w:customStyle="1" w:styleId="Bulleti">
    <w:name w:val="Bullet i"/>
    <w:aliases w:val="ii,iii"/>
    <w:basedOn w:val="Normalny"/>
    <w:qFormat/>
    <w:rsid w:val="001F046E"/>
    <w:pPr>
      <w:numPr>
        <w:numId w:val="24"/>
      </w:numPr>
      <w:contextualSpacing/>
    </w:pPr>
  </w:style>
  <w:style w:type="paragraph" w:customStyle="1" w:styleId="Footnote">
    <w:name w:val="Footnote"/>
    <w:basedOn w:val="Bezodstpw"/>
    <w:link w:val="FootnoteChar"/>
    <w:qFormat/>
    <w:rsid w:val="001F046E"/>
    <w:pPr>
      <w:jc w:val="both"/>
    </w:pPr>
    <w:rPr>
      <w:rFonts w:eastAsia="Times New Roman" w:cs="Arial"/>
      <w:sz w:val="18"/>
      <w:szCs w:val="18"/>
      <w:lang w:eastAsia="en-GB"/>
    </w:rPr>
  </w:style>
  <w:style w:type="character" w:customStyle="1" w:styleId="FootnoteChar">
    <w:name w:val="Footnote Char"/>
    <w:basedOn w:val="Domylnaczcionkaakapitu"/>
    <w:link w:val="Footnote"/>
    <w:rsid w:val="001F046E"/>
    <w:rPr>
      <w:rFonts w:eastAsia="Times New Roman" w:cs="Arial"/>
      <w:sz w:val="18"/>
      <w:szCs w:val="18"/>
      <w:lang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046E"/>
  </w:style>
  <w:style w:type="paragraph" w:styleId="Spistreci4">
    <w:name w:val="toc 4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706ECC"/>
    <w:pPr>
      <w:spacing w:after="0"/>
    </w:pPr>
  </w:style>
  <w:style w:type="character" w:styleId="UyteHipercze">
    <w:name w:val="FollowedHyperlink"/>
    <w:basedOn w:val="Domylnaczcionkaakapitu"/>
    <w:uiPriority w:val="99"/>
    <w:semiHidden/>
    <w:unhideWhenUsed/>
    <w:rsid w:val="004834F8"/>
    <w:rPr>
      <w:color w:val="954F72" w:themeColor="followedHyperlink"/>
      <w:u w:val="single"/>
    </w:rPr>
  </w:style>
  <w:style w:type="table" w:customStyle="1" w:styleId="TableGridLight1">
    <w:name w:val="Table Grid Light1"/>
    <w:basedOn w:val="Standardowy"/>
    <w:uiPriority w:val="40"/>
    <w:rsid w:val="00E01F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4E1E9A"/>
    <w:rPr>
      <w:color w:val="808080"/>
    </w:rPr>
  </w:style>
  <w:style w:type="character" w:customStyle="1" w:styleId="apple-converted-space">
    <w:name w:val="apple-converted-space"/>
    <w:basedOn w:val="Domylnaczcionkaakapitu"/>
    <w:rsid w:val="00EF4D49"/>
  </w:style>
  <w:style w:type="table" w:customStyle="1" w:styleId="PlainTable21">
    <w:name w:val="Plain Table 21"/>
    <w:basedOn w:val="Standardowy"/>
    <w:uiPriority w:val="42"/>
    <w:rsid w:val="000426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0">
    <w:name w:val="Grid Table 4 - Accent 11"/>
    <w:basedOn w:val="Standardowy"/>
    <w:uiPriority w:val="49"/>
    <w:rsid w:val="00C11327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E7E6E6" w:themeColor="background2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0">
    <w:name w:val="Table Grid Light1"/>
    <w:basedOn w:val="Standardowy"/>
    <w:uiPriority w:val="40"/>
    <w:rsid w:val="00C113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0">
    <w:name w:val="Plain Table 21"/>
    <w:basedOn w:val="Standardowy"/>
    <w:uiPriority w:val="42"/>
    <w:rsid w:val="00C113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horttext">
    <w:name w:val="short_text"/>
    <w:basedOn w:val="Domylnaczcionkaakapitu"/>
    <w:rsid w:val="00894559"/>
  </w:style>
  <w:style w:type="character" w:customStyle="1" w:styleId="gt-baf-word-clickable1">
    <w:name w:val="gt-baf-word-clickable1"/>
    <w:basedOn w:val="Domylnaczcionkaakapitu"/>
    <w:rsid w:val="00894559"/>
    <w:rPr>
      <w:color w:val="000000"/>
    </w:rPr>
  </w:style>
  <w:style w:type="character" w:customStyle="1" w:styleId="detailinfotext">
    <w:name w:val="detailinfotext"/>
    <w:basedOn w:val="Domylnaczcionkaakapitu"/>
    <w:rsid w:val="00694541"/>
  </w:style>
  <w:style w:type="table" w:customStyle="1" w:styleId="TableGrid3">
    <w:name w:val="Table Grid3"/>
    <w:basedOn w:val="Standardowy"/>
    <w:next w:val="Tabela-Siatka"/>
    <w:uiPriority w:val="59"/>
    <w:rsid w:val="00741F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E45744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D9D9D9"/>
      </w:tcPr>
    </w:tblStylePr>
  </w:style>
  <w:style w:type="table" w:customStyle="1" w:styleId="TableGrid2">
    <w:name w:val="Table Grid2"/>
    <w:basedOn w:val="Standardowy"/>
    <w:next w:val="Tabela-Siatka"/>
    <w:uiPriority w:val="39"/>
    <w:rsid w:val="00E45744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D9D9D9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CAF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CAF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CAF"/>
    <w:rPr>
      <w:vertAlign w:val="superscript"/>
    </w:rPr>
  </w:style>
  <w:style w:type="paragraph" w:customStyle="1" w:styleId="Bodytext1">
    <w:name w:val="Body text1"/>
    <w:basedOn w:val="Normalny"/>
    <w:uiPriority w:val="99"/>
    <w:rsid w:val="00A110AF"/>
    <w:pPr>
      <w:shd w:val="clear" w:color="auto" w:fill="FFFFFF"/>
      <w:spacing w:before="60" w:after="60" w:line="230" w:lineRule="exact"/>
      <w:ind w:hanging="540"/>
    </w:pPr>
    <w:rPr>
      <w:rFonts w:ascii="Times New Roman" w:eastAsia="Calibri" w:hAnsi="Times New Roman" w:cs="Times New Roman"/>
      <w:sz w:val="19"/>
      <w:szCs w:val="19"/>
      <w:lang w:val="pl-PL"/>
    </w:rPr>
  </w:style>
  <w:style w:type="character" w:customStyle="1" w:styleId="hps">
    <w:name w:val="hps"/>
    <w:basedOn w:val="Domylnaczcionkaakapitu"/>
    <w:rsid w:val="00191248"/>
  </w:style>
  <w:style w:type="character" w:customStyle="1" w:styleId="longtext">
    <w:name w:val="long_text"/>
    <w:basedOn w:val="Domylnaczcionkaakapitu"/>
    <w:rsid w:val="00256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0"/>
    <w:pPr>
      <w:spacing w:before="120" w:after="120"/>
      <w:jc w:val="both"/>
    </w:pPr>
    <w:rPr>
      <w:rFonts w:ascii="Verdana" w:hAnsi="Verdana"/>
      <w:sz w:val="20"/>
    </w:rPr>
  </w:style>
  <w:style w:type="paragraph" w:styleId="Nagwek1">
    <w:name w:val="heading 1"/>
    <w:basedOn w:val="Tytu"/>
    <w:next w:val="Normalny"/>
    <w:link w:val="Nagwek1Znak"/>
    <w:uiPriority w:val="9"/>
    <w:qFormat/>
    <w:rsid w:val="00177429"/>
    <w:pPr>
      <w:keepNext/>
      <w:numPr>
        <w:numId w:val="33"/>
      </w:numPr>
      <w:spacing w:after="200" w:line="360" w:lineRule="auto"/>
      <w:outlineLvl w:val="0"/>
    </w:pPr>
    <w:rPr>
      <w:rFonts w:ascii="Verdana" w:eastAsia="MS Mincho" w:hAnsi="Verdana" w:cs="Arial"/>
      <w:b/>
      <w:color w:val="000000"/>
      <w:sz w:val="32"/>
      <w:szCs w:val="32"/>
      <w:lang w:eastAsia="fr-FR"/>
    </w:rPr>
  </w:style>
  <w:style w:type="paragraph" w:styleId="Nagwek2">
    <w:name w:val="heading 2"/>
    <w:basedOn w:val="Bezodstpw"/>
    <w:next w:val="Normalny"/>
    <w:link w:val="Nagwek2Znak"/>
    <w:autoRedefine/>
    <w:uiPriority w:val="9"/>
    <w:unhideWhenUsed/>
    <w:qFormat/>
    <w:rsid w:val="00583446"/>
    <w:pPr>
      <w:keepNext/>
      <w:keepLines/>
      <w:numPr>
        <w:ilvl w:val="1"/>
        <w:numId w:val="33"/>
      </w:numPr>
      <w:spacing w:before="200" w:after="120"/>
      <w:outlineLvl w:val="1"/>
    </w:pPr>
    <w:rPr>
      <w:rFonts w:ascii="Verdana" w:eastAsiaTheme="minorEastAsia" w:hAnsi="Verdana" w:cs="Arial"/>
      <w:b/>
      <w:bCs/>
      <w:i/>
    </w:rPr>
  </w:style>
  <w:style w:type="paragraph" w:styleId="Nagwek3">
    <w:name w:val="heading 3"/>
    <w:basedOn w:val="Nagwek5"/>
    <w:next w:val="Normalny"/>
    <w:link w:val="Nagwek3Znak"/>
    <w:autoRedefine/>
    <w:uiPriority w:val="9"/>
    <w:unhideWhenUsed/>
    <w:qFormat/>
    <w:rsid w:val="00C27B08"/>
    <w:pPr>
      <w:keepNext/>
      <w:keepLines/>
      <w:numPr>
        <w:ilvl w:val="2"/>
      </w:numPr>
      <w:outlineLvl w:val="2"/>
    </w:pPr>
  </w:style>
  <w:style w:type="paragraph" w:styleId="Nagwek4">
    <w:name w:val="heading 4"/>
    <w:basedOn w:val="Nagwek6"/>
    <w:next w:val="Normalny"/>
    <w:link w:val="Nagwek4Znak"/>
    <w:uiPriority w:val="9"/>
    <w:unhideWhenUsed/>
    <w:qFormat/>
    <w:rsid w:val="00BE6F8F"/>
    <w:pPr>
      <w:numPr>
        <w:ilvl w:val="0"/>
        <w:numId w:val="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rsid w:val="009C780E"/>
    <w:pPr>
      <w:numPr>
        <w:ilvl w:val="4"/>
        <w:numId w:val="33"/>
      </w:numPr>
      <w:spacing w:before="240" w:after="60" w:line="276" w:lineRule="auto"/>
      <w:outlineLvl w:val="4"/>
    </w:pPr>
    <w:rPr>
      <w:rFonts w:eastAsiaTheme="minorEastAsia"/>
      <w:b/>
      <w:bCs/>
      <w:i/>
      <w:iCs/>
      <w:color w:val="C45911" w:themeColor="accent2" w:themeShade="BF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C2DE4"/>
    <w:pPr>
      <w:numPr>
        <w:ilvl w:val="5"/>
        <w:numId w:val="33"/>
      </w:numPr>
      <w:spacing w:before="240" w:after="60" w:line="276" w:lineRule="auto"/>
      <w:outlineLvl w:val="5"/>
    </w:pPr>
    <w:rPr>
      <w:rFonts w:eastAsiaTheme="minorEastAsia" w:cs="Arial"/>
      <w:b/>
      <w:bCs/>
      <w:color w:val="000000" w:themeColor="text1"/>
      <w:szCs w:val="20"/>
      <w:u w:val="single" w:color="ED7D31" w:themeColor="accen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46E"/>
    <w:pPr>
      <w:numPr>
        <w:ilvl w:val="6"/>
        <w:numId w:val="33"/>
      </w:numPr>
      <w:spacing w:before="240" w:after="60" w:line="276" w:lineRule="auto"/>
      <w:outlineLvl w:val="6"/>
    </w:pPr>
    <w:rPr>
      <w:rFonts w:eastAsiaTheme="minorEastAs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46E"/>
    <w:pPr>
      <w:numPr>
        <w:ilvl w:val="7"/>
        <w:numId w:val="33"/>
      </w:numPr>
      <w:spacing w:before="240" w:after="60" w:line="276" w:lineRule="auto"/>
      <w:outlineLvl w:val="7"/>
    </w:pPr>
    <w:rPr>
      <w:rFonts w:eastAsiaTheme="minorEastAs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46E"/>
    <w:pPr>
      <w:numPr>
        <w:ilvl w:val="8"/>
        <w:numId w:val="33"/>
      </w:numPr>
      <w:spacing w:before="240" w:after="60" w:line="276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429"/>
    <w:rPr>
      <w:rFonts w:ascii="Verdana" w:eastAsia="MS Mincho" w:hAnsi="Verdana" w:cs="Arial"/>
      <w:b/>
      <w:color w:val="000000"/>
      <w:spacing w:val="-10"/>
      <w:kern w:val="28"/>
      <w:sz w:val="32"/>
      <w:szCs w:val="32"/>
      <w:lang w:eastAsia="fr-FR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46E"/>
    <w:pPr>
      <w:keepLines/>
      <w:numPr>
        <w:numId w:val="25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F04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446"/>
    <w:rPr>
      <w:rFonts w:ascii="Verdana" w:eastAsiaTheme="minorEastAsia" w:hAnsi="Verdana" w:cs="Arial"/>
      <w:b/>
      <w:bCs/>
      <w:i/>
    </w:rPr>
  </w:style>
  <w:style w:type="character" w:customStyle="1" w:styleId="Nagwek3Znak">
    <w:name w:val="Nagłówek 3 Znak"/>
    <w:basedOn w:val="Domylnaczcionkaakapitu"/>
    <w:link w:val="Nagwek3"/>
    <w:uiPriority w:val="9"/>
    <w:rsid w:val="00C27B08"/>
    <w:rPr>
      <w:rFonts w:ascii="Verdana" w:eastAsiaTheme="minorEastAsia" w:hAnsi="Verdana"/>
      <w:b/>
      <w:bCs/>
      <w:i/>
      <w:iCs/>
      <w:color w:val="C45911" w:themeColor="accent2" w:themeShade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C2DE4"/>
    <w:rPr>
      <w:rFonts w:ascii="Verdana" w:eastAsiaTheme="minorEastAsia" w:hAnsi="Verdana" w:cs="Arial"/>
      <w:b/>
      <w:bCs/>
      <w:color w:val="000000" w:themeColor="text1"/>
      <w:sz w:val="20"/>
      <w:szCs w:val="20"/>
      <w:u w:val="single" w:color="ED7D31" w:themeColor="accent2"/>
    </w:rPr>
  </w:style>
  <w:style w:type="character" w:customStyle="1" w:styleId="Nagwek5Znak">
    <w:name w:val="Nagłówek 5 Znak"/>
    <w:basedOn w:val="Domylnaczcionkaakapitu"/>
    <w:link w:val="Nagwek5"/>
    <w:uiPriority w:val="9"/>
    <w:rsid w:val="009C780E"/>
    <w:rPr>
      <w:rFonts w:ascii="Verdana" w:eastAsiaTheme="minorEastAsia" w:hAnsi="Verdana"/>
      <w:b/>
      <w:bCs/>
      <w:i/>
      <w:iCs/>
      <w:color w:val="C45911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FC2DE4"/>
    <w:rPr>
      <w:rFonts w:ascii="Verdana" w:eastAsiaTheme="minorEastAsia" w:hAnsi="Verdana" w:cs="Arial"/>
      <w:b/>
      <w:bCs/>
      <w:color w:val="000000" w:themeColor="text1"/>
      <w:sz w:val="20"/>
      <w:szCs w:val="20"/>
      <w:u w:val="single" w:color="ED7D31" w:themeColor="accen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46E"/>
    <w:rPr>
      <w:rFonts w:ascii="Verdana" w:eastAsiaTheme="minorEastAsia" w:hAnsi="Verdan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46E"/>
    <w:rPr>
      <w:rFonts w:ascii="Verdana" w:eastAsiaTheme="minorEastAsia" w:hAnsi="Verdan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46E"/>
    <w:rPr>
      <w:rFonts w:asciiTheme="majorHAnsi" w:eastAsiaTheme="majorEastAsia" w:hAnsiTheme="majorHAnsi" w:cstheme="majorBidi"/>
      <w:sz w:val="20"/>
    </w:rPr>
  </w:style>
  <w:style w:type="paragraph" w:styleId="Legenda">
    <w:name w:val="caption"/>
    <w:basedOn w:val="Podtytu"/>
    <w:next w:val="Normalny"/>
    <w:uiPriority w:val="35"/>
    <w:unhideWhenUsed/>
    <w:qFormat/>
    <w:rsid w:val="0049030C"/>
  </w:style>
  <w:style w:type="paragraph" w:styleId="Tytu">
    <w:name w:val="Title"/>
    <w:basedOn w:val="Normalny"/>
    <w:next w:val="Normalny"/>
    <w:link w:val="TytuZnak"/>
    <w:uiPriority w:val="10"/>
    <w:qFormat/>
    <w:rsid w:val="001F0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30C"/>
    <w:pPr>
      <w:spacing w:before="0" w:after="160" w:line="240" w:lineRule="auto"/>
      <w:jc w:val="left"/>
    </w:pPr>
    <w:rPr>
      <w:rFonts w:eastAsia="AGaramondPro-Regular" w:cs="Arial"/>
      <w:i/>
      <w:color w:val="ED7D31" w:themeColor="accent2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9030C"/>
    <w:rPr>
      <w:rFonts w:ascii="Verdana" w:eastAsia="AGaramondPro-Regular" w:hAnsi="Verdana" w:cs="Arial"/>
      <w:i/>
      <w:color w:val="ED7D31" w:themeColor="accen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046E"/>
    <w:rPr>
      <w:b/>
      <w:bCs/>
    </w:rPr>
  </w:style>
  <w:style w:type="character" w:styleId="Uwydatnienie">
    <w:name w:val="Emphasis"/>
    <w:uiPriority w:val="20"/>
    <w:qFormat/>
    <w:rsid w:val="001F046E"/>
    <w:rPr>
      <w:rFonts w:ascii="Verdana" w:eastAsia="Times New Roman" w:hAnsi="Verdana" w:cs="Arial"/>
      <w:i/>
      <w:color w:val="ED7D31" w:themeColor="accent2"/>
      <w:sz w:val="18"/>
      <w:szCs w:val="18"/>
      <w:lang w:eastAsia="en-GB"/>
    </w:rPr>
  </w:style>
  <w:style w:type="paragraph" w:styleId="Bezodstpw">
    <w:name w:val="No Spacing"/>
    <w:uiPriority w:val="1"/>
    <w:qFormat/>
    <w:rsid w:val="001F04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13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135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1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1355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1F04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46E"/>
    <w:rPr>
      <w:i/>
      <w:iCs/>
      <w:color w:val="5B9BD5" w:themeColor="accent1"/>
    </w:rPr>
  </w:style>
  <w:style w:type="character" w:styleId="Odwoaniedelikatne">
    <w:name w:val="Subtle Reference"/>
    <w:uiPriority w:val="31"/>
    <w:qFormat/>
    <w:rsid w:val="002F1355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2F1355"/>
    <w:rPr>
      <w:b/>
      <w:bCs/>
      <w:smallCaps/>
      <w:color w:val="5B9BD5" w:themeColor="accent1"/>
      <w:spacing w:val="5"/>
    </w:rPr>
  </w:style>
  <w:style w:type="character" w:styleId="Tytuksiki">
    <w:name w:val="Book Title"/>
    <w:uiPriority w:val="33"/>
    <w:qFormat/>
    <w:rsid w:val="002F1355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F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B9D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9D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 Text Char1,Footnote Text Char Char"/>
    <w:basedOn w:val="Normalny"/>
    <w:link w:val="TekstprzypisudolnegoZnak"/>
    <w:uiPriority w:val="99"/>
    <w:unhideWhenUsed/>
    <w:qFormat/>
    <w:rsid w:val="005D0B75"/>
    <w:pPr>
      <w:spacing w:after="0" w:line="240" w:lineRule="auto"/>
    </w:pPr>
  </w:style>
  <w:style w:type="character" w:customStyle="1" w:styleId="TekstprzypisudolnegoZnak">
    <w:name w:val="Tekst przypisu dolnego Znak"/>
    <w:aliases w:val="Footnote Text Char1 Znak,Footnote Text Char Char Znak"/>
    <w:basedOn w:val="Domylnaczcionkaakapitu"/>
    <w:link w:val="Tekstprzypisudolnego"/>
    <w:uiPriority w:val="99"/>
    <w:rsid w:val="005D0B75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unhideWhenUsed/>
    <w:rsid w:val="005D0B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E1D"/>
    <w:pPr>
      <w:spacing w:before="100" w:after="200"/>
    </w:pPr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E1D"/>
    <w:rPr>
      <w:rFonts w:ascii="Verdana" w:eastAsiaTheme="minorHAnsi" w:hAnsi="Verdana"/>
      <w:b/>
      <w:bCs/>
      <w:sz w:val="20"/>
    </w:rPr>
  </w:style>
  <w:style w:type="paragraph" w:customStyle="1" w:styleId="Default">
    <w:name w:val="Default"/>
    <w:rsid w:val="00C17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226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D9D9D9" w:themeFill="background1" w:themeFillShade="D9"/>
      </w:tcPr>
    </w:tblStylePr>
  </w:style>
  <w:style w:type="character" w:styleId="Hipercze">
    <w:name w:val="Hyperlink"/>
    <w:basedOn w:val="Domylnaczcionkaakapitu"/>
    <w:uiPriority w:val="99"/>
    <w:unhideWhenUsed/>
    <w:rsid w:val="00716E7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F4BD0"/>
    <w:pPr>
      <w:tabs>
        <w:tab w:val="left" w:pos="401"/>
        <w:tab w:val="right" w:leader="dot" w:pos="9016"/>
      </w:tabs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F4BD0"/>
    <w:pPr>
      <w:tabs>
        <w:tab w:val="left" w:pos="420"/>
        <w:tab w:val="right" w:leader="dot" w:pos="9016"/>
      </w:tabs>
      <w:spacing w:before="0" w:after="0"/>
    </w:pPr>
    <w:rPr>
      <w:rFonts w:asciiTheme="minorHAnsi" w:hAnsiTheme="minorHAnsi"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E47B8B"/>
    <w:pPr>
      <w:spacing w:after="0"/>
    </w:pPr>
    <w:rPr>
      <w:smallCaps/>
    </w:rPr>
  </w:style>
  <w:style w:type="paragraph" w:styleId="Poprawka">
    <w:name w:val="Revision"/>
    <w:hidden/>
    <w:uiPriority w:val="99"/>
    <w:semiHidden/>
    <w:rsid w:val="00BF7DF2"/>
    <w:pPr>
      <w:spacing w:after="0" w:line="240" w:lineRule="auto"/>
    </w:pPr>
  </w:style>
  <w:style w:type="table" w:customStyle="1" w:styleId="GridTable4-Accent11">
    <w:name w:val="Grid Table 4 - Accent 11"/>
    <w:basedOn w:val="Standardowy"/>
    <w:uiPriority w:val="49"/>
    <w:rsid w:val="00026095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E7E6E6" w:themeColor="background2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EB12AE"/>
    <w:pPr>
      <w:spacing w:after="0"/>
    </w:pPr>
  </w:style>
  <w:style w:type="paragraph" w:customStyle="1" w:styleId="Bulleti">
    <w:name w:val="Bullet i"/>
    <w:aliases w:val="ii,iii"/>
    <w:basedOn w:val="Normalny"/>
    <w:qFormat/>
    <w:rsid w:val="001F046E"/>
    <w:pPr>
      <w:numPr>
        <w:numId w:val="24"/>
      </w:numPr>
      <w:contextualSpacing/>
    </w:pPr>
  </w:style>
  <w:style w:type="paragraph" w:customStyle="1" w:styleId="Footnote">
    <w:name w:val="Footnote"/>
    <w:basedOn w:val="Bezodstpw"/>
    <w:link w:val="FootnoteChar"/>
    <w:qFormat/>
    <w:rsid w:val="001F046E"/>
    <w:pPr>
      <w:jc w:val="both"/>
    </w:pPr>
    <w:rPr>
      <w:rFonts w:eastAsia="Times New Roman" w:cs="Arial"/>
      <w:sz w:val="18"/>
      <w:szCs w:val="18"/>
      <w:lang w:eastAsia="en-GB"/>
    </w:rPr>
  </w:style>
  <w:style w:type="character" w:customStyle="1" w:styleId="FootnoteChar">
    <w:name w:val="Footnote Char"/>
    <w:basedOn w:val="Domylnaczcionkaakapitu"/>
    <w:link w:val="Footnote"/>
    <w:rsid w:val="001F046E"/>
    <w:rPr>
      <w:rFonts w:eastAsia="Times New Roman" w:cs="Arial"/>
      <w:sz w:val="18"/>
      <w:szCs w:val="18"/>
      <w:lang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046E"/>
  </w:style>
  <w:style w:type="paragraph" w:styleId="Spistreci4">
    <w:name w:val="toc 4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706ECC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706ECC"/>
    <w:pPr>
      <w:spacing w:after="0"/>
    </w:pPr>
  </w:style>
  <w:style w:type="character" w:styleId="UyteHipercze">
    <w:name w:val="FollowedHyperlink"/>
    <w:basedOn w:val="Domylnaczcionkaakapitu"/>
    <w:uiPriority w:val="99"/>
    <w:semiHidden/>
    <w:unhideWhenUsed/>
    <w:rsid w:val="004834F8"/>
    <w:rPr>
      <w:color w:val="954F72" w:themeColor="followedHyperlink"/>
      <w:u w:val="single"/>
    </w:rPr>
  </w:style>
  <w:style w:type="table" w:customStyle="1" w:styleId="TableGridLight1">
    <w:name w:val="Table Grid Light1"/>
    <w:basedOn w:val="Standardowy"/>
    <w:uiPriority w:val="40"/>
    <w:rsid w:val="00E01F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4E1E9A"/>
    <w:rPr>
      <w:color w:val="808080"/>
    </w:rPr>
  </w:style>
  <w:style w:type="character" w:customStyle="1" w:styleId="apple-converted-space">
    <w:name w:val="apple-converted-space"/>
    <w:basedOn w:val="Domylnaczcionkaakapitu"/>
    <w:rsid w:val="00EF4D49"/>
  </w:style>
  <w:style w:type="table" w:customStyle="1" w:styleId="PlainTable21">
    <w:name w:val="Plain Table 21"/>
    <w:basedOn w:val="Standardowy"/>
    <w:uiPriority w:val="42"/>
    <w:rsid w:val="000426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0">
    <w:name w:val="Grid Table 4 - Accent 11"/>
    <w:basedOn w:val="Standardowy"/>
    <w:uiPriority w:val="49"/>
    <w:rsid w:val="00C11327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E7E6E6" w:themeColor="background2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0">
    <w:name w:val="Table Grid Light1"/>
    <w:basedOn w:val="Standardowy"/>
    <w:uiPriority w:val="40"/>
    <w:rsid w:val="00C113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0">
    <w:name w:val="Plain Table 21"/>
    <w:basedOn w:val="Standardowy"/>
    <w:uiPriority w:val="42"/>
    <w:rsid w:val="00C113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horttext">
    <w:name w:val="short_text"/>
    <w:basedOn w:val="Domylnaczcionkaakapitu"/>
    <w:rsid w:val="00894559"/>
  </w:style>
  <w:style w:type="character" w:customStyle="1" w:styleId="gt-baf-word-clickable1">
    <w:name w:val="gt-baf-word-clickable1"/>
    <w:basedOn w:val="Domylnaczcionkaakapitu"/>
    <w:rsid w:val="00894559"/>
    <w:rPr>
      <w:color w:val="000000"/>
    </w:rPr>
  </w:style>
  <w:style w:type="character" w:customStyle="1" w:styleId="detailinfotext">
    <w:name w:val="detailinfotext"/>
    <w:basedOn w:val="Domylnaczcionkaakapitu"/>
    <w:rsid w:val="00694541"/>
  </w:style>
  <w:style w:type="table" w:customStyle="1" w:styleId="TableGrid3">
    <w:name w:val="Table Grid3"/>
    <w:basedOn w:val="Standardowy"/>
    <w:next w:val="Tabela-Siatka"/>
    <w:uiPriority w:val="59"/>
    <w:rsid w:val="00741F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E45744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D9D9D9"/>
      </w:tcPr>
    </w:tblStylePr>
  </w:style>
  <w:style w:type="table" w:customStyle="1" w:styleId="TableGrid2">
    <w:name w:val="Table Grid2"/>
    <w:basedOn w:val="Standardowy"/>
    <w:next w:val="Tabela-Siatka"/>
    <w:uiPriority w:val="39"/>
    <w:rsid w:val="00E45744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D9D9D9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CAF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CAF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CAF"/>
    <w:rPr>
      <w:vertAlign w:val="superscript"/>
    </w:rPr>
  </w:style>
  <w:style w:type="paragraph" w:customStyle="1" w:styleId="Bodytext1">
    <w:name w:val="Body text1"/>
    <w:basedOn w:val="Normalny"/>
    <w:uiPriority w:val="99"/>
    <w:rsid w:val="00A110AF"/>
    <w:pPr>
      <w:shd w:val="clear" w:color="auto" w:fill="FFFFFF"/>
      <w:spacing w:before="60" w:after="60" w:line="230" w:lineRule="exact"/>
      <w:ind w:hanging="540"/>
    </w:pPr>
    <w:rPr>
      <w:rFonts w:ascii="Times New Roman" w:eastAsia="Calibri" w:hAnsi="Times New Roman" w:cs="Times New Roman"/>
      <w:sz w:val="19"/>
      <w:szCs w:val="19"/>
      <w:lang w:val="pl-PL"/>
    </w:rPr>
  </w:style>
  <w:style w:type="character" w:customStyle="1" w:styleId="hps">
    <w:name w:val="hps"/>
    <w:basedOn w:val="Domylnaczcionkaakapitu"/>
    <w:rsid w:val="00191248"/>
  </w:style>
  <w:style w:type="character" w:customStyle="1" w:styleId="longtext">
    <w:name w:val="long_text"/>
    <w:basedOn w:val="Domylnaczcionkaakapitu"/>
    <w:rsid w:val="0025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51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regional_policy/en/information/publications/decisions/2015/adopted-guidelines-on-closure-2007-2013" TargetMode="External"/><Relationship Id="rId1" Type="http://schemas.openxmlformats.org/officeDocument/2006/relationships/hyperlink" Target="http://ec.europa.eu/regional_policy/sources/docgener/informat/2014/guidance_management_verification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7" ma:contentTypeDescription="" ma:contentTypeScope="" ma:versionID="dcd7e35ebfd7b043682608d6f403514d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773886155065d897d3dd36edbf7d56f7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ProgrammeArea_x003a_Priority_x0020_Sector" minOccurs="0"/>
                <xsd:element ref="ns2:ProgrammeCodes" minOccurs="0"/>
                <xsd:element ref="ns2:BeneficiaryState"/>
                <xsd:element ref="ns2:ProgrammeCode" minOccurs="0"/>
                <xsd:element ref="ns2:KeywordMoU" minOccurs="0"/>
                <xsd:element ref="ns2:SharedWithUsers" minOccurs="0"/>
                <xsd:element ref="ns2:Keyword_x0020_concept_x0020_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8" ma:displayName="Root Category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9" ma:displayName="Document Category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10" ma:displayName="Content Category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11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Codes" ma:index="13" nillable="true" ma:displayName="Programme Codes" ma:list="{975a580f-6b1a-4014-90c3-099b5db6a6c8}" ma:internalName="ProgrammeCodes" ma:showField="Title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14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" ma:index="15" nillable="true" ma:displayName="Programme Code" ma:list="{975a580f-6b1a-4014-90c3-099b5db6a6c8}" ma:internalName="ProgrammeCode" ma:readOnly="false" ma:showField="Title" ma:web="e14ef0e2-0d44-4b36-b550-b52c2d58b12f">
      <xsd:simpleType>
        <xsd:restriction base="dms:Lookup"/>
      </xsd:simpleType>
    </xsd:element>
    <xsd:element name="KeywordMoU" ma:index="16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_x0020_concept_x0020_note" ma:index="18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s"/>
          <xsd:enumeration value="Concept note development"/>
          <xsd:enumeration value="Programme planning meetings"/>
          <xsd:enumeration value="Programme strategy meetings"/>
          <xsd:enumeration value="Stakeholder consult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neficiaryState xmlns="e14ef0e2-0d44-4b36-b550-b52c2d58b12f">33</BeneficiaryState>
    <DocumentCategory xmlns="e14ef0e2-0d44-4b36-b550-b52c2d58b12f">12</DocumentCategory>
    <ContentCategory xmlns="e14ef0e2-0d44-4b36-b550-b52c2d58b12f">116</ContentCategory>
    <ProgrammeArea xmlns="e14ef0e2-0d44-4b36-b550-b52c2d58b12f"/>
    <RootCategory xmlns="e14ef0e2-0d44-4b36-b550-b52c2d58b12f">1</RootCategory>
    <KeywordMoU xmlns="e14ef0e2-0d44-4b36-b550-b52c2d58b12f">No keyword</KeywordMoU>
    <ProgrammeCode xmlns="e14ef0e2-0d44-4b36-b550-b52c2d58b12f" xsi:nil="true"/>
    <ProgrammeCodes xmlns="e14ef0e2-0d44-4b36-b550-b52c2d58b12f"/>
    <Keyword_x0020_concept_x0020_note xmlns="e14ef0e2-0d44-4b36-b550-b52c2d58b12f">No keyword</Keyword_x0020_concept_x0020_no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C0A41-3610-40BF-A7FD-E9A7D553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C7618-7061-4579-8A63-AF5AD447EC26}">
  <ds:schemaRefs>
    <ds:schemaRef ds:uri="http://schemas.microsoft.com/office/2006/metadata/properties"/>
    <ds:schemaRef ds:uri="http://schemas.microsoft.com/office/infopath/2007/PartnerControls"/>
    <ds:schemaRef ds:uri="e14ef0e2-0d44-4b36-b550-b52c2d58b12f"/>
  </ds:schemaRefs>
</ds:datastoreItem>
</file>

<file path=customXml/itemProps4.xml><?xml version="1.0" encoding="utf-8"?>
<ds:datastoreItem xmlns:ds="http://schemas.openxmlformats.org/officeDocument/2006/customXml" ds:itemID="{46ADE1C4-464F-4C7D-91E0-3B959404D3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B16BA6-0CCA-4A3E-9019-0541B430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67</Pages>
  <Words>19712</Words>
  <Characters>118273</Characters>
  <Application>Microsoft Office Word</Application>
  <DocSecurity>0</DocSecurity>
  <Lines>985</Lines>
  <Paragraphs>275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137710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 Finance</dc:creator>
  <cp:lastModifiedBy>Beata Teodorczyk</cp:lastModifiedBy>
  <cp:revision>49</cp:revision>
  <cp:lastPrinted>2018-01-29T09:48:00Z</cp:lastPrinted>
  <dcterms:created xsi:type="dcterms:W3CDTF">2018-10-29T14:46:00Z</dcterms:created>
  <dcterms:modified xsi:type="dcterms:W3CDTF">2018-10-31T15:34:00Z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2147306013</vt:i4>
  </property>
  <property fmtid="{D5CDD505-2E9C-101B-9397-08002B2CF9AE}" pid="3" name="ContentTypeId">
    <vt:lpwstr>0x0101009A1BA2047EC6A1448C3A3272A65CBE99009F2A1AFECD4B94449B443D709935F4CA</vt:lpwstr>
  </property>
  <property fmtid="{D5CDD505-2E9C-101B-9397-08002B2CF9AE}" pid="4" name="Keyword Concept note">
    <vt:lpwstr>No keyword</vt:lpwstr>
  </property>
</Properties>
</file>